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4FC6" w:rsidRDefault="009F3B16">
      <w:pPr>
        <w:pStyle w:val="Heading1"/>
      </w:pPr>
      <w:r>
        <w:t>Aileen Beeler</w:t>
      </w:r>
      <w:bookmarkStart w:id="0" w:name="_GoBack"/>
      <w:bookmarkEnd w:id="0"/>
    </w:p>
    <w:p w:rsidR="00C64FC6" w:rsidRDefault="00C64FC6">
      <w:pPr>
        <w:rPr>
          <w:rFonts w:ascii="Georgia" w:eastAsia="Georgia" w:hAnsi="Georgia" w:cs="Georgia"/>
          <w:b/>
          <w:sz w:val="24"/>
          <w:szCs w:val="24"/>
        </w:rPr>
      </w:pPr>
    </w:p>
    <w:tbl>
      <w:tblPr>
        <w:tblStyle w:val="a1"/>
        <w:tblW w:w="9352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6"/>
        <w:gridCol w:w="2610"/>
        <w:gridCol w:w="4676"/>
      </w:tblGrid>
      <w:tr w:rsidR="00C64FC6">
        <w:trPr>
          <w:trHeight w:val="260"/>
        </w:trPr>
        <w:tc>
          <w:tcPr>
            <w:tcW w:w="9352" w:type="dxa"/>
            <w:gridSpan w:val="3"/>
          </w:tcPr>
          <w:p w:rsidR="00C64FC6" w:rsidRDefault="00E50407">
            <w:pPr>
              <w:spacing w:line="237" w:lineRule="auto"/>
              <w:ind w:left="10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Set Title:  Epigenetics</w:t>
            </w:r>
          </w:p>
        </w:tc>
      </w:tr>
      <w:tr w:rsidR="00C64FC6">
        <w:trPr>
          <w:trHeight w:val="260"/>
        </w:trPr>
        <w:tc>
          <w:tcPr>
            <w:tcW w:w="9352" w:type="dxa"/>
            <w:gridSpan w:val="3"/>
          </w:tcPr>
          <w:p w:rsidR="00C64FC6" w:rsidRDefault="00E50407">
            <w:pPr>
              <w:spacing w:line="236" w:lineRule="auto"/>
              <w:ind w:left="10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Set Grade Placement: 11th</w:t>
            </w:r>
          </w:p>
        </w:tc>
      </w:tr>
      <w:tr w:rsidR="00C64FC6">
        <w:trPr>
          <w:trHeight w:val="240"/>
        </w:trPr>
        <w:tc>
          <w:tcPr>
            <w:tcW w:w="9352" w:type="dxa"/>
            <w:gridSpan w:val="3"/>
          </w:tcPr>
          <w:p w:rsidR="00C64FC6" w:rsidRDefault="00E50407">
            <w:pPr>
              <w:spacing w:line="222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Enduring Understandings</w:t>
            </w:r>
          </w:p>
        </w:tc>
      </w:tr>
      <w:tr w:rsidR="00C64FC6">
        <w:trPr>
          <w:trHeight w:val="880"/>
        </w:trPr>
        <w:tc>
          <w:tcPr>
            <w:tcW w:w="9352" w:type="dxa"/>
            <w:gridSpan w:val="3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We teach, in Bio I</w:t>
            </w:r>
            <w:proofErr w:type="gramStart"/>
            <w:r>
              <w:t>,  that</w:t>
            </w:r>
            <w:proofErr w:type="gramEnd"/>
            <w:r>
              <w:t xml:space="preserve"> your DNA is passed down from your parents and the random pairings and mutations make you.  It is now understood that your </w:t>
            </w:r>
            <w:proofErr w:type="gramStart"/>
            <w:r>
              <w:t>ancestors</w:t>
            </w:r>
            <w:proofErr w:type="gramEnd"/>
            <w:r>
              <w:t xml:space="preserve"> experiences can shape your DNA.</w:t>
            </w:r>
          </w:p>
        </w:tc>
      </w:tr>
      <w:tr w:rsidR="00C64FC6">
        <w:trPr>
          <w:trHeight w:val="480"/>
        </w:trPr>
        <w:tc>
          <w:tcPr>
            <w:tcW w:w="9352" w:type="dxa"/>
            <w:gridSpan w:val="3"/>
          </w:tcPr>
          <w:p w:rsidR="00C64FC6" w:rsidRDefault="00E50407">
            <w:pPr>
              <w:spacing w:line="236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and Resources</w:t>
            </w:r>
          </w:p>
          <w:p w:rsidR="00C64FC6" w:rsidRDefault="00E50407">
            <w:pPr>
              <w:spacing w:before="1" w:line="225" w:lineRule="auto"/>
              <w:ind w:left="1060" w:right="106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(Indicate in what order the supporting works are to be introduced and taught.)</w:t>
            </w:r>
          </w:p>
        </w:tc>
      </w:tr>
      <w:tr w:rsidR="00C64FC6">
        <w:trPr>
          <w:trHeight w:val="480"/>
        </w:trPr>
        <w:tc>
          <w:tcPr>
            <w:tcW w:w="2066" w:type="dxa"/>
          </w:tcPr>
          <w:p w:rsidR="00C64FC6" w:rsidRDefault="00E50407">
            <w:pPr>
              <w:spacing w:before="98"/>
              <w:ind w:left="96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Anchor Text</w:t>
            </w:r>
          </w:p>
        </w:tc>
        <w:tc>
          <w:tcPr>
            <w:tcW w:w="7286" w:type="dxa"/>
            <w:gridSpan w:val="2"/>
          </w:tcPr>
          <w:p w:rsidR="00C64FC6" w:rsidRDefault="00E50407">
            <w:pPr>
              <w:spacing w:line="236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Title: http://discovermagazine.com/2013/may/13-grandmas-experiences-leave-epigenetic-mark-on-your-genes</w:t>
            </w:r>
          </w:p>
          <w:p w:rsidR="00C64FC6" w:rsidRDefault="00E50407">
            <w:pPr>
              <w:spacing w:before="1" w:line="227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Author: Dan Hurley</w:t>
            </w:r>
          </w:p>
        </w:tc>
      </w:tr>
      <w:tr w:rsidR="00C64FC6">
        <w:trPr>
          <w:trHeight w:val="5520"/>
        </w:trPr>
        <w:tc>
          <w:tcPr>
            <w:tcW w:w="2066" w:type="dxa"/>
          </w:tcPr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C64FC6">
            <w:pPr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64FC6" w:rsidRDefault="00E50407">
            <w:pPr>
              <w:spacing w:before="164"/>
              <w:ind w:left="98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Supporting Works</w:t>
            </w:r>
          </w:p>
        </w:tc>
        <w:tc>
          <w:tcPr>
            <w:tcW w:w="7286" w:type="dxa"/>
            <w:gridSpan w:val="2"/>
          </w:tcPr>
          <w:p w:rsidR="00C64FC6" w:rsidRDefault="00E50407">
            <w:pPr>
              <w:spacing w:line="236" w:lineRule="auto"/>
              <w:ind w:left="37" w:right="63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Book(s)</w:t>
            </w:r>
          </w:p>
          <w:p w:rsidR="00C64FC6" w:rsidRDefault="00E50407">
            <w:pPr>
              <w:spacing w:line="241" w:lineRule="auto"/>
              <w:ind w:left="8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Epigenetics: How Environment Shapes Our Genes by Richard C. Francis</w:t>
            </w:r>
          </w:p>
          <w:p w:rsidR="00C64FC6" w:rsidRDefault="00E50407">
            <w:pPr>
              <w:spacing w:before="1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2.The Epigenetics Revolution: How Modern Biology Is Rewriting Our Understanding of Genetics, Disease, and Inheritance by Nessa Carey</w:t>
            </w:r>
          </w:p>
          <w:p w:rsidR="00C64FC6" w:rsidRDefault="00E50407">
            <w:pPr>
              <w:spacing w:before="1" w:line="241" w:lineRule="auto"/>
              <w:ind w:left="82" w:right="624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Article(s)</w:t>
            </w:r>
          </w:p>
          <w:p w:rsidR="00C64FC6" w:rsidRDefault="00E50407">
            <w:pPr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3.https://academic.oup.com/bioscience/article/61/8/588/336969/Behavioral-Epigenetics-How-Nurture-Shapes-Nature</w:t>
            </w:r>
          </w:p>
          <w:p w:rsidR="00C64FC6" w:rsidRDefault="00E50407">
            <w:pPr>
              <w:spacing w:before="1"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4.https://www.ncbi.nlm.nih.gov/pmc/articles/PMC1392256/</w:t>
            </w:r>
          </w:p>
          <w:p w:rsidR="00C64FC6" w:rsidRDefault="00E50407">
            <w:pPr>
              <w:spacing w:line="241" w:lineRule="auto"/>
              <w:ind w:left="82" w:right="632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Poem(s)</w:t>
            </w:r>
          </w:p>
          <w:p w:rsidR="00C64FC6" w:rsidRDefault="00E50407">
            <w:pPr>
              <w:spacing w:before="1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Frenetic Genetics by Paul Butters</w:t>
            </w:r>
          </w:p>
          <w:p w:rsidR="00C64FC6" w:rsidRDefault="00E50407">
            <w:pPr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 My Genes - Poem by George Bernard Hough</w:t>
            </w:r>
          </w:p>
          <w:p w:rsidR="00C64FC6" w:rsidRDefault="00E50407">
            <w:pPr>
              <w:spacing w:line="241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z w:val="21"/>
                <w:szCs w:val="21"/>
              </w:rPr>
              <w:t>nfographic(s)</w:t>
            </w:r>
          </w:p>
          <w:p w:rsidR="00C64FC6" w:rsidRDefault="00E50407">
            <w:pPr>
              <w:tabs>
                <w:tab w:val="left" w:pos="7199"/>
              </w:tabs>
              <w:spacing w:before="1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3.Introducing Epigenetics: A Graphic Guide by Cath Ennis</w:t>
            </w:r>
          </w:p>
          <w:p w:rsidR="00C64FC6" w:rsidRDefault="00E50407">
            <w:pPr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http://www.the-scientist.com/?articles.view/articleNo/29546/title/Infographic--Epigenetics---A-Primer/</w:t>
            </w:r>
          </w:p>
          <w:p w:rsidR="00C64FC6" w:rsidRDefault="00E50407">
            <w:pPr>
              <w:spacing w:line="241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Other Media</w:t>
            </w:r>
          </w:p>
          <w:p w:rsidR="00C64FC6" w:rsidRDefault="00E50407">
            <w:pPr>
              <w:tabs>
                <w:tab w:val="left" w:pos="803"/>
              </w:tabs>
              <w:spacing w:before="1" w:line="241" w:lineRule="auto"/>
              <w:ind w:left="8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5.https://www.youtube.com/watch?v=kp1bZEUgqVI</w:t>
            </w:r>
          </w:p>
          <w:p w:rsidR="00C64FC6" w:rsidRDefault="00E50407">
            <w:pPr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6.https://www.youtube.com/watch?v=AvB0q3mg4sQ</w:t>
            </w:r>
          </w:p>
          <w:p w:rsidR="00C64FC6" w:rsidRDefault="00C64FC6">
            <w:pPr>
              <w:spacing w:before="5"/>
              <w:rPr>
                <w:rFonts w:ascii="Georgia" w:eastAsia="Georgia" w:hAnsi="Georgia" w:cs="Georgia"/>
                <w:b/>
                <w:sz w:val="21"/>
                <w:szCs w:val="21"/>
              </w:rPr>
            </w:pPr>
          </w:p>
          <w:p w:rsidR="00C64FC6" w:rsidRDefault="00E50407">
            <w:pPr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Supporting Works will be introduced/taught in the following order:</w:t>
            </w:r>
          </w:p>
        </w:tc>
      </w:tr>
      <w:tr w:rsidR="00C64FC6">
        <w:trPr>
          <w:trHeight w:val="480"/>
        </w:trPr>
        <w:tc>
          <w:tcPr>
            <w:tcW w:w="2066" w:type="dxa"/>
          </w:tcPr>
          <w:p w:rsidR="00C64FC6" w:rsidRDefault="00E50407">
            <w:pPr>
              <w:spacing w:before="98"/>
              <w:ind w:left="97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Standards</w:t>
            </w:r>
          </w:p>
        </w:tc>
        <w:tc>
          <w:tcPr>
            <w:tcW w:w="7286" w:type="dxa"/>
            <w:gridSpan w:val="2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CLE 3216.4.4 Describe the relationship among genes, the DNA code,</w:t>
            </w:r>
          </w:p>
          <w:p w:rsidR="00C64FC6" w:rsidRDefault="00E50407">
            <w:r>
              <w:t>production of protein molecules, and the characteristics of an organism</w:t>
            </w:r>
          </w:p>
        </w:tc>
      </w:tr>
      <w:tr w:rsidR="00C64FC6">
        <w:trPr>
          <w:trHeight w:val="240"/>
        </w:trPr>
        <w:tc>
          <w:tcPr>
            <w:tcW w:w="4676" w:type="dxa"/>
            <w:gridSpan w:val="2"/>
          </w:tcPr>
          <w:p w:rsidR="00C64FC6" w:rsidRDefault="00E50407">
            <w:pPr>
              <w:spacing w:line="222" w:lineRule="auto"/>
              <w:ind w:left="1752" w:right="1753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Knowledge</w:t>
            </w:r>
          </w:p>
        </w:tc>
        <w:tc>
          <w:tcPr>
            <w:tcW w:w="4676" w:type="dxa"/>
          </w:tcPr>
          <w:p w:rsidR="00C64FC6" w:rsidRDefault="00E50407">
            <w:pPr>
              <w:spacing w:line="222" w:lineRule="auto"/>
              <w:ind w:left="2038" w:right="203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Skills</w:t>
            </w:r>
          </w:p>
        </w:tc>
      </w:tr>
      <w:tr w:rsidR="00C64FC6">
        <w:trPr>
          <w:trHeight w:val="240"/>
        </w:trPr>
        <w:tc>
          <w:tcPr>
            <w:tcW w:w="4676" w:type="dxa"/>
            <w:gridSpan w:val="2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t>Know the DNA nucleotide base pairs</w:t>
            </w:r>
          </w:p>
        </w:tc>
        <w:tc>
          <w:tcPr>
            <w:tcW w:w="4676" w:type="dxa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t xml:space="preserve"> Be able to construct the base pairs from 1/2 of a DNA strand</w:t>
            </w:r>
          </w:p>
        </w:tc>
      </w:tr>
      <w:tr w:rsidR="00C64FC6">
        <w:trPr>
          <w:trHeight w:val="220"/>
        </w:trPr>
        <w:tc>
          <w:tcPr>
            <w:tcW w:w="4676" w:type="dxa"/>
            <w:gridSpan w:val="2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t>Know how a DNA sequence codes for an amino acid</w:t>
            </w:r>
          </w:p>
        </w:tc>
        <w:tc>
          <w:tcPr>
            <w:tcW w:w="4676" w:type="dxa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Be able to predict the amino acid sequence from a DNA strand</w:t>
            </w:r>
          </w:p>
        </w:tc>
      </w:tr>
      <w:tr w:rsidR="00C64FC6">
        <w:trPr>
          <w:trHeight w:val="240"/>
        </w:trPr>
        <w:tc>
          <w:tcPr>
            <w:tcW w:w="4676" w:type="dxa"/>
            <w:gridSpan w:val="2"/>
          </w:tcPr>
          <w:p w:rsidR="00C64FC6" w:rsidRDefault="00C64FC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6" w:type="dxa"/>
          </w:tcPr>
          <w:p w:rsidR="00C64FC6" w:rsidRDefault="00C64FC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64FC6">
        <w:trPr>
          <w:trHeight w:val="240"/>
        </w:trPr>
        <w:tc>
          <w:tcPr>
            <w:tcW w:w="9352" w:type="dxa"/>
            <w:gridSpan w:val="3"/>
          </w:tcPr>
          <w:p w:rsidR="00C64FC6" w:rsidRDefault="00E50407">
            <w:pPr>
              <w:spacing w:line="222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Rich, Authentic Task</w:t>
            </w:r>
          </w:p>
        </w:tc>
      </w:tr>
      <w:tr w:rsidR="00C64FC6">
        <w:trPr>
          <w:trHeight w:val="1100"/>
        </w:trPr>
        <w:tc>
          <w:tcPr>
            <w:tcW w:w="9352" w:type="dxa"/>
            <w:gridSpan w:val="3"/>
          </w:tcPr>
          <w:p w:rsidR="00C64FC6" w:rsidRDefault="00E504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888232</w:t>
            </w:r>
            <w:r>
              <w:tab/>
              <w:t>Firefly Gene Transformation Kit</w:t>
            </w:r>
          </w:p>
          <w:p w:rsidR="00C64FC6" w:rsidRDefault="00E50407">
            <w:r>
              <w:t>Students can transfer firefly DNA to a bacterium</w:t>
            </w:r>
          </w:p>
        </w:tc>
      </w:tr>
    </w:tbl>
    <w:p w:rsidR="00C64FC6" w:rsidRDefault="00C64FC6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sectPr w:rsidR="00C64FC6">
      <w:headerReference w:type="default" r:id="rId7"/>
      <w:footerReference w:type="default" r:id="rId8"/>
      <w:type w:val="continuous"/>
      <w:pgSz w:w="12240" w:h="15840"/>
      <w:pgMar w:top="980" w:right="1320" w:bottom="1220" w:left="134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407" w:rsidRDefault="00E50407">
      <w:r>
        <w:separator/>
      </w:r>
    </w:p>
  </w:endnote>
  <w:endnote w:type="continuationSeparator" w:id="0">
    <w:p w:rsidR="00E50407" w:rsidRDefault="00E5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C6" w:rsidRDefault="00C64FC6">
    <w:pPr>
      <w:spacing w:after="1025"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407" w:rsidRDefault="00E50407">
      <w:r>
        <w:separator/>
      </w:r>
    </w:p>
  </w:footnote>
  <w:footnote w:type="continuationSeparator" w:id="0">
    <w:p w:rsidR="00E50407" w:rsidRDefault="00E50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C6" w:rsidRDefault="00E50407">
    <w:pPr>
      <w:spacing w:before="722"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hidden="0" allowOverlap="1">
              <wp:simplePos x="0" y="0"/>
              <wp:positionH relativeFrom="margin">
                <wp:posOffset>3365500</wp:posOffset>
              </wp:positionH>
              <wp:positionV relativeFrom="paragraph">
                <wp:posOffset>228600</wp:posOffset>
              </wp:positionV>
              <wp:extent cx="2654300" cy="406400"/>
              <wp:effectExtent l="0" t="0" r="0" b="0"/>
              <wp:wrapNone/>
              <wp:docPr id="1" name="Freeform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71973" y="3579975"/>
                        <a:ext cx="2649854" cy="400049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649855" h="400050" extrusionOk="0">
                            <a:moveTo>
                              <a:pt x="0" y="0"/>
                            </a:moveTo>
                            <a:lnTo>
                              <a:pt x="0" y="400050"/>
                            </a:lnTo>
                            <a:lnTo>
                              <a:pt x="2649855" y="400050"/>
                            </a:lnTo>
                            <a:lnTo>
                              <a:pt x="264985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C64FC6" w:rsidRDefault="00E50407">
                          <w:pPr>
                            <w:spacing w:before="10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</w:rPr>
                            <w:t>Excerpted from Interactive Read Aloud Toolkit</w:t>
                          </w:r>
                        </w:p>
                      </w:txbxContent>
                    </wps:txbx>
                    <wps:bodyPr lIns="88900" tIns="38100" rIns="88900" bIns="38100" anchor="t" anchorCtr="0"/>
                  </wps:wsp>
                </a:graphicData>
              </a:graphic>
            </wp:anchor>
          </w:drawing>
        </mc:Choice>
        <mc:Fallback>
          <w:pict>
            <v:shape id="Freeform 1" o:spid="_x0000_s1026" style="position:absolute;margin-left:265pt;margin-top:18pt;width:209pt;height:3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649855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" o:allowincell="f" adj="-11796480,,5400" path="m,l,400050r2649855,l2649855,,,xe" filled="f" stroked="f">
              <v:stroke joinstyle="miter"/>
              <v:formulas/>
              <v:path arrowok="t" o:extrusionok="f" o:connecttype="custom" textboxrect="0,0,2649855,400050"/>
              <v:textbox inset="7pt,3pt,7pt,3pt">
                <w:txbxContent>
                  <w:p w:rsidR="00C64FC6" w:rsidRDefault="00E50407">
                    <w:pPr>
                      <w:spacing w:before="10"/>
                      <w:ind w:left="20" w:firstLine="20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</w:rPr>
                      <w:t>Excerpted from Interactive Read Aloud Toolkit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E2A84"/>
    <w:multiLevelType w:val="multilevel"/>
    <w:tmpl w:val="9DDA62FE"/>
    <w:lvl w:ilvl="0">
      <w:numFmt w:val="bullet"/>
      <w:lvlText w:val="●"/>
      <w:lvlJc w:val="left"/>
      <w:pPr>
        <w:ind w:left="460" w:firstLine="100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•"/>
      <w:lvlJc w:val="left"/>
      <w:pPr>
        <w:ind w:left="1159" w:firstLine="799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859" w:firstLine="1499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558" w:firstLine="2198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58" w:firstLine="2898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3957" w:firstLine="3597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657" w:firstLine="4297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356" w:firstLine="4996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056" w:firstLine="5696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6"/>
    <w:rsid w:val="009F3B16"/>
    <w:rsid w:val="00C64FC6"/>
    <w:rsid w:val="00E5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65B11-20CA-44BE-894F-5F427823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6"/>
      <w:ind w:left="100"/>
      <w:outlineLvl w:val="0"/>
    </w:pPr>
    <w:rPr>
      <w:rFonts w:ascii="Georgia" w:eastAsia="Georgia" w:hAnsi="Georgia" w:cs="Georgia"/>
      <w:b/>
      <w:sz w:val="24"/>
      <w:szCs w:val="24"/>
    </w:rPr>
  </w:style>
  <w:style w:type="paragraph" w:styleId="Heading2">
    <w:name w:val="heading 2"/>
    <w:basedOn w:val="Normal"/>
    <w:next w:val="Normal"/>
    <w:pPr>
      <w:ind w:left="840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pPr>
      <w:ind w:left="100"/>
      <w:outlineLvl w:val="2"/>
    </w:pPr>
    <w:rPr>
      <w:b/>
    </w:rPr>
  </w:style>
  <w:style w:type="paragraph" w:styleId="Heading4">
    <w:name w:val="heading 4"/>
    <w:basedOn w:val="Normal"/>
    <w:next w:val="Normal"/>
    <w:pPr>
      <w:ind w:left="120"/>
      <w:outlineLvl w:val="3"/>
    </w:pPr>
    <w:rPr>
      <w:b/>
      <w:sz w:val="21"/>
      <w:szCs w:val="21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KTrent</dc:creator>
  <cp:lastModifiedBy>Kristen Trent</cp:lastModifiedBy>
  <cp:revision>2</cp:revision>
  <dcterms:created xsi:type="dcterms:W3CDTF">2017-06-01T01:18:00Z</dcterms:created>
  <dcterms:modified xsi:type="dcterms:W3CDTF">2017-06-01T01:18:00Z</dcterms:modified>
</cp:coreProperties>
</file>