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F610C0">
            <w:pPr>
              <w:pStyle w:val="TableParagraph"/>
              <w:ind w:left="100" w:right="116"/>
              <w:rPr>
                <w:sz w:val="20"/>
              </w:rPr>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choose to first identify a topic for a unit of study and then seek out an anchor text around which to build the set. The most important part of this step is that the anchor text be a grade-level complex text that meets the complexity demands of the Standards and is worthy of the time and attention of students. Without a rich anchor text, it is impossible to create a worthwhile text set.</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31404C" w:rsidRDefault="00F610C0">
            <w:pPr>
              <w:pStyle w:val="TableParagraph"/>
              <w:ind w:left="100"/>
              <w:rPr>
                <w:sz w:val="20"/>
              </w:rPr>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organize texts according to quantitative measure (</w:t>
            </w:r>
            <w:hyperlink r:id="rId9">
              <w:r>
                <w:rPr>
                  <w:color w:val="0462C1"/>
                  <w:sz w:val="20"/>
                  <w:u w:val="single" w:color="0462C1"/>
                </w:rPr>
                <w:t>http://www.lexile.com/fab/</w:t>
              </w:r>
            </w:hyperlink>
            <w:r>
              <w:rPr>
                <w:sz w:val="20"/>
              </w:rPr>
              <w:t>).</w:t>
            </w: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p>
        </w:tc>
      </w:tr>
    </w:tbl>
    <w:p w:rsidR="0031404C" w:rsidRDefault="0031404C">
      <w:pPr>
        <w:spacing w:line="228" w:lineRule="exact"/>
        <w:rPr>
          <w:sz w:val="20"/>
        </w:rPr>
        <w:sectPr w:rsidR="0031404C">
          <w:headerReference w:type="even" r:id="rId10"/>
          <w:headerReference w:type="default" r:id="rId11"/>
          <w:footerReference w:type="even" r:id="rId12"/>
          <w:footerReference w:type="default" r:id="rId13"/>
          <w:headerReference w:type="first" r:id="rId14"/>
          <w:footerReference w:type="first" r:id="rId15"/>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6">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rsidP="007D0FD2">
      <w:pPr>
        <w:pStyle w:val="Heading1"/>
      </w:pPr>
      <w:r>
        <w:lastRenderedPageBreak/>
        <w:t>Blank Text Set</w:t>
      </w:r>
    </w:p>
    <w:p w:rsidR="007D0FD2" w:rsidRPr="007D0FD2" w:rsidRDefault="007D0FD2" w:rsidP="007D0FD2">
      <w:pPr>
        <w:pStyle w:val="Heading1"/>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7D0FD2">
              <w:rPr>
                <w:b/>
                <w:sz w:val="21"/>
              </w:rPr>
              <w:t xml:space="preserve"> Waves</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7D0FD2">
              <w:rPr>
                <w:b/>
                <w:sz w:val="21"/>
              </w:rPr>
              <w:t xml:space="preserve"> 7</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Pr="007D0FD2" w:rsidRDefault="007D0FD2">
            <w:pPr>
              <w:pStyle w:val="TableParagraph"/>
              <w:rPr>
                <w:rFonts w:ascii="Times New Roman"/>
                <w:sz w:val="20"/>
              </w:rPr>
            </w:pPr>
            <w:r>
              <w:rPr>
                <w:rFonts w:ascii="Times New Roman"/>
                <w:sz w:val="20"/>
              </w:rPr>
              <w:t>The enduring understanding is to learn the different forms of waves (i.e. transverse and longitudinal) and their properties ( i.e. frequency, amplitude, wavelength, and speed).  We will explore different forms of waves such as sound and water waves.  My  notes will serve as the anchor text and will discuss these concepts.  The supporting texts will support these concepts and enrich the student</w:t>
            </w:r>
            <w:r>
              <w:rPr>
                <w:rFonts w:ascii="Times New Roman"/>
                <w:sz w:val="20"/>
              </w:rPr>
              <w:t>’</w:t>
            </w:r>
            <w:r>
              <w:rPr>
                <w:rFonts w:ascii="Times New Roman"/>
                <w:sz w:val="20"/>
              </w:rPr>
              <w:t xml:space="preserve">s understanding.  I chose the novel </w:t>
            </w:r>
            <w:r>
              <w:rPr>
                <w:rFonts w:ascii="Times New Roman"/>
                <w:sz w:val="20"/>
                <w:u w:val="single"/>
              </w:rPr>
              <w:t xml:space="preserve">Escaping the Giant Wave </w:t>
            </w:r>
            <w:r>
              <w:rPr>
                <w:rFonts w:ascii="Times New Roman"/>
                <w:sz w:val="20"/>
              </w:rPr>
              <w:t>by Peg Kehret to help generate interest in waves.  This will be read during our enrichment part of the day.  This novel also introduces concepts that I will be discussing in my Plate Tectonics unit.  The articles will be introduced at the beginning of the waves unit, and students will complete them as we work through the unit.</w:t>
            </w: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Pr="00D92684" w:rsidRDefault="00F610C0">
            <w:pPr>
              <w:pStyle w:val="TableParagraph"/>
              <w:spacing w:line="236" w:lineRule="exact"/>
              <w:ind w:left="100"/>
              <w:rPr>
                <w:sz w:val="21"/>
              </w:rPr>
            </w:pPr>
            <w:r>
              <w:rPr>
                <w:b/>
                <w:sz w:val="21"/>
              </w:rPr>
              <w:t>Title:</w:t>
            </w:r>
            <w:r w:rsidR="007D0FD2">
              <w:rPr>
                <w:b/>
                <w:sz w:val="21"/>
              </w:rPr>
              <w:t xml:space="preserve"> </w:t>
            </w:r>
            <w:r w:rsidR="00D92684">
              <w:rPr>
                <w:sz w:val="21"/>
              </w:rPr>
              <w:t xml:space="preserve">Wave notes </w:t>
            </w:r>
          </w:p>
          <w:p w:rsidR="0031404C" w:rsidRDefault="00F610C0">
            <w:pPr>
              <w:pStyle w:val="TableParagraph"/>
              <w:spacing w:before="1" w:line="227" w:lineRule="exact"/>
              <w:ind w:left="100"/>
              <w:rPr>
                <w:b/>
                <w:sz w:val="21"/>
              </w:rPr>
            </w:pPr>
            <w:r>
              <w:rPr>
                <w:b/>
                <w:sz w:val="21"/>
              </w:rPr>
              <w:t>Author:</w:t>
            </w:r>
            <w:r w:rsidR="007D0FD2">
              <w:rPr>
                <w:b/>
                <w:sz w:val="21"/>
              </w:rPr>
              <w:t xml:space="preserve"> </w:t>
            </w:r>
            <w:r w:rsidR="00D92684">
              <w:rPr>
                <w:b/>
                <w:sz w:val="21"/>
              </w:rPr>
              <w:t xml:space="preserve"> Myself </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Pr="00D92684" w:rsidRDefault="00F610C0" w:rsidP="0026398E">
            <w:pPr>
              <w:pStyle w:val="TableParagraph"/>
              <w:spacing w:line="241" w:lineRule="exact"/>
              <w:ind w:left="82"/>
              <w:rPr>
                <w:sz w:val="21"/>
                <w:u w:val="single"/>
              </w:rPr>
            </w:pPr>
            <w:r>
              <w:rPr>
                <w:sz w:val="21"/>
              </w:rPr>
              <w:t>1.</w:t>
            </w:r>
            <w:r w:rsidR="0026398E">
              <w:rPr>
                <w:sz w:val="21"/>
              </w:rPr>
              <w:t xml:space="preserve"> </w:t>
            </w:r>
            <w:r w:rsidR="00D92684">
              <w:rPr>
                <w:sz w:val="21"/>
                <w:u w:val="single"/>
              </w:rPr>
              <w:t>Escaping the Giant Wave</w:t>
            </w:r>
          </w:p>
          <w:p w:rsidR="0031404C" w:rsidRDefault="00F610C0" w:rsidP="0026398E">
            <w:pPr>
              <w:pStyle w:val="TableParagraph"/>
              <w:spacing w:before="1"/>
              <w:ind w:left="82" w:right="87"/>
              <w:rPr>
                <w:sz w:val="21"/>
              </w:rPr>
            </w:pPr>
            <w:r>
              <w:rPr>
                <w:sz w:val="21"/>
              </w:rPr>
              <w:t>2.</w:t>
            </w:r>
            <w:r w:rsidR="00D92684">
              <w:rPr>
                <w:sz w:val="21"/>
              </w:rPr>
              <w:t xml:space="preserve"> Peg Kehret</w:t>
            </w:r>
          </w:p>
          <w:p w:rsidR="0031404C" w:rsidRDefault="00F610C0" w:rsidP="0026398E">
            <w:pPr>
              <w:pStyle w:val="TableParagraph"/>
              <w:spacing w:before="1" w:line="241" w:lineRule="exact"/>
              <w:ind w:left="82" w:right="6243"/>
              <w:rPr>
                <w:b/>
                <w:sz w:val="21"/>
              </w:rPr>
            </w:pPr>
            <w:r>
              <w:rPr>
                <w:b/>
                <w:sz w:val="21"/>
              </w:rPr>
              <w:t>Article(s)</w:t>
            </w:r>
          </w:p>
          <w:p w:rsidR="0031404C" w:rsidRDefault="00F610C0" w:rsidP="0026398E">
            <w:pPr>
              <w:pStyle w:val="TableParagraph"/>
              <w:spacing w:line="241" w:lineRule="exact"/>
              <w:ind w:left="82" w:right="87"/>
              <w:rPr>
                <w:sz w:val="21"/>
              </w:rPr>
            </w:pPr>
            <w:r>
              <w:rPr>
                <w:sz w:val="21"/>
              </w:rPr>
              <w:t>3.</w:t>
            </w:r>
            <w:r w:rsidR="00D92684">
              <w:rPr>
                <w:sz w:val="21"/>
              </w:rPr>
              <w:t xml:space="preserve">“Scientists Study Ocean Waves to Figure Out the Force of Earthquakes” </w:t>
            </w:r>
            <w:hyperlink r:id="rId17" w:history="1">
              <w:r w:rsidR="00D92684" w:rsidRPr="001A05C1">
                <w:rPr>
                  <w:rStyle w:val="Hyperlink"/>
                  <w:sz w:val="21"/>
                </w:rPr>
                <w:t>www.newsela.com/articles/la-earthquake/id/2540</w:t>
              </w:r>
            </w:hyperlink>
            <w:r w:rsidR="00D92684">
              <w:rPr>
                <w:sz w:val="21"/>
              </w:rPr>
              <w:t xml:space="preserve"> </w:t>
            </w:r>
          </w:p>
          <w:p w:rsidR="0031404C" w:rsidRDefault="00F610C0" w:rsidP="0026398E">
            <w:pPr>
              <w:pStyle w:val="TableParagraph"/>
              <w:spacing w:before="1" w:line="241" w:lineRule="exact"/>
              <w:ind w:left="82" w:right="87"/>
              <w:rPr>
                <w:sz w:val="21"/>
              </w:rPr>
            </w:pPr>
            <w:r>
              <w:rPr>
                <w:sz w:val="21"/>
              </w:rPr>
              <w:t>4.</w:t>
            </w:r>
            <w:r w:rsidR="00D92684">
              <w:rPr>
                <w:sz w:val="21"/>
              </w:rPr>
              <w:t xml:space="preserve"> “Echoes, Ultrasound, and Sonar” </w:t>
            </w:r>
            <w:hyperlink r:id="rId18" w:history="1">
              <w:r w:rsidR="00D92684" w:rsidRPr="001A05C1">
                <w:rPr>
                  <w:rStyle w:val="Hyperlink"/>
                  <w:sz w:val="21"/>
                </w:rPr>
                <w:t>www.online.kidsdiscover.com/unit/sound-and-vibration/topic/echoes-ultrasound-and-sonar</w:t>
              </w:r>
            </w:hyperlink>
            <w:r w:rsidR="00D92684">
              <w:rPr>
                <w:sz w:val="21"/>
              </w:rPr>
              <w:t xml:space="preserve"> </w:t>
            </w:r>
          </w:p>
          <w:p w:rsidR="0031404C" w:rsidRDefault="00F610C0" w:rsidP="0026398E">
            <w:pPr>
              <w:pStyle w:val="TableParagraph"/>
              <w:spacing w:line="241" w:lineRule="exact"/>
              <w:ind w:left="82" w:right="6323"/>
              <w:rPr>
                <w:b/>
                <w:sz w:val="21"/>
              </w:rPr>
            </w:pPr>
            <w:r>
              <w:rPr>
                <w:b/>
                <w:sz w:val="21"/>
              </w:rPr>
              <w:t>Poem(s)</w:t>
            </w:r>
          </w:p>
          <w:p w:rsidR="0031404C" w:rsidRDefault="00F610C0" w:rsidP="0026398E">
            <w:pPr>
              <w:pStyle w:val="TableParagraph"/>
              <w:spacing w:before="1"/>
              <w:ind w:left="82" w:right="87"/>
              <w:rPr>
                <w:sz w:val="21"/>
              </w:rPr>
            </w:pPr>
            <w:r>
              <w:rPr>
                <w:sz w:val="21"/>
              </w:rPr>
              <w:t>1.</w:t>
            </w:r>
            <w:r w:rsidR="00D92684">
              <w:rPr>
                <w:sz w:val="21"/>
              </w:rPr>
              <w:t xml:space="preserve"> “Sound Poem” by Mr. R </w:t>
            </w:r>
            <w:hyperlink r:id="rId19" w:history="1">
              <w:r w:rsidR="00D92684" w:rsidRPr="001A05C1">
                <w:rPr>
                  <w:rStyle w:val="Hyperlink"/>
                  <w:sz w:val="21"/>
                </w:rPr>
                <w:t>www.sciencepoems.net/sciencepoems/sound.aspx#ws/RWcGUK</w:t>
              </w:r>
            </w:hyperlink>
            <w:r w:rsidR="00D92684">
              <w:rPr>
                <w:sz w:val="21"/>
              </w:rPr>
              <w:t xml:space="preserve"> </w:t>
            </w:r>
          </w:p>
          <w:p w:rsidR="0031404C" w:rsidRDefault="00F610C0" w:rsidP="0026398E">
            <w:pPr>
              <w:pStyle w:val="TableParagraph"/>
              <w:spacing w:line="241" w:lineRule="exact"/>
              <w:ind w:left="82" w:right="87"/>
              <w:rPr>
                <w:sz w:val="21"/>
              </w:rPr>
            </w:pPr>
            <w:r>
              <w:rPr>
                <w:sz w:val="21"/>
              </w:rPr>
              <w:t>2.</w:t>
            </w:r>
            <w:r w:rsidR="00D92684">
              <w:rPr>
                <w:sz w:val="21"/>
              </w:rPr>
              <w:t xml:space="preserve"> “There Came a Wave” by Lily Usher </w:t>
            </w:r>
            <w:hyperlink r:id="rId20" w:history="1">
              <w:r w:rsidR="00D92684" w:rsidRPr="001A05C1">
                <w:rPr>
                  <w:rStyle w:val="Hyperlink"/>
                  <w:sz w:val="21"/>
                </w:rPr>
                <w:t>www.slideshare.net/CarolUsher1/tsunami-poem-there-came-a-great-wave</w:t>
              </w:r>
            </w:hyperlink>
            <w:r w:rsidR="00D92684">
              <w:rPr>
                <w:sz w:val="21"/>
              </w:rPr>
              <w:t xml:space="preserve"> </w:t>
            </w:r>
          </w:p>
          <w:p w:rsidR="0031404C" w:rsidRDefault="00F610C0" w:rsidP="0026398E">
            <w:pPr>
              <w:pStyle w:val="TableParagraph"/>
              <w:spacing w:line="241" w:lineRule="exact"/>
              <w:ind w:left="100"/>
              <w:rPr>
                <w:b/>
                <w:sz w:val="21"/>
              </w:rPr>
            </w:pPr>
            <w:r>
              <w:rPr>
                <w:b/>
                <w:sz w:val="21"/>
              </w:rPr>
              <w:t>Infographic(s)</w:t>
            </w:r>
          </w:p>
          <w:p w:rsidR="0031404C" w:rsidRDefault="00F610C0" w:rsidP="0026398E">
            <w:pPr>
              <w:pStyle w:val="TableParagraph"/>
              <w:tabs>
                <w:tab w:val="left" w:pos="7199"/>
              </w:tabs>
              <w:spacing w:before="1"/>
              <w:ind w:left="82" w:right="87"/>
              <w:rPr>
                <w:sz w:val="21"/>
              </w:rPr>
            </w:pPr>
            <w:r>
              <w:rPr>
                <w:sz w:val="21"/>
              </w:rPr>
              <w:t>3.</w:t>
            </w:r>
            <w:r w:rsidR="00D92684">
              <w:rPr>
                <w:sz w:val="21"/>
              </w:rPr>
              <w:t xml:space="preserve"> Waves and Sound </w:t>
            </w:r>
            <w:hyperlink r:id="rId21" w:history="1">
              <w:r w:rsidR="005C6360" w:rsidRPr="001A05C1">
                <w:rPr>
                  <w:rStyle w:val="Hyperlink"/>
                  <w:sz w:val="21"/>
                </w:rPr>
                <w:t>www.waves-and-sound-2012-2013</w:t>
              </w:r>
            </w:hyperlink>
            <w:r w:rsidR="005C6360">
              <w:rPr>
                <w:sz w:val="21"/>
              </w:rPr>
              <w:t xml:space="preserve"> </w:t>
            </w:r>
          </w:p>
          <w:p w:rsidR="0031404C" w:rsidRDefault="00F610C0" w:rsidP="0026398E">
            <w:pPr>
              <w:pStyle w:val="TableParagraph"/>
              <w:spacing w:line="241" w:lineRule="exact"/>
              <w:ind w:left="82" w:right="87"/>
              <w:rPr>
                <w:sz w:val="21"/>
              </w:rPr>
            </w:pPr>
            <w:r>
              <w:rPr>
                <w:sz w:val="21"/>
              </w:rPr>
              <w:t>4.</w:t>
            </w:r>
            <w:r w:rsidR="005C6360">
              <w:rPr>
                <w:sz w:val="21"/>
              </w:rPr>
              <w:t xml:space="preserve"> Longitudinal and Transverse wave interactions </w:t>
            </w:r>
            <w:hyperlink r:id="rId22" w:history="1">
              <w:r w:rsidR="005C6360" w:rsidRPr="001A05C1">
                <w:rPr>
                  <w:rStyle w:val="Hyperlink"/>
                  <w:sz w:val="21"/>
                </w:rPr>
                <w:t>www.acs.psu.edu/drussel/Demos/waves/wavemotion.html</w:t>
              </w:r>
            </w:hyperlink>
            <w:r w:rsidR="005C6360">
              <w:rPr>
                <w:sz w:val="21"/>
              </w:rPr>
              <w:t xml:space="preserve"> </w:t>
            </w:r>
          </w:p>
          <w:p w:rsidR="0031404C" w:rsidRDefault="00F610C0" w:rsidP="0026398E">
            <w:pPr>
              <w:pStyle w:val="TableParagraph"/>
              <w:spacing w:line="241" w:lineRule="exact"/>
              <w:ind w:left="100"/>
              <w:rPr>
                <w:b/>
                <w:sz w:val="21"/>
              </w:rPr>
            </w:pPr>
            <w:r>
              <w:rPr>
                <w:b/>
                <w:sz w:val="21"/>
              </w:rPr>
              <w:t>Other Media</w:t>
            </w:r>
          </w:p>
          <w:p w:rsidR="0031404C" w:rsidRDefault="00F610C0" w:rsidP="0026398E">
            <w:pPr>
              <w:pStyle w:val="TableParagraph"/>
              <w:tabs>
                <w:tab w:val="left" w:pos="803"/>
              </w:tabs>
              <w:spacing w:before="1" w:line="241" w:lineRule="exact"/>
              <w:ind w:left="82"/>
              <w:rPr>
                <w:sz w:val="21"/>
              </w:rPr>
            </w:pPr>
            <w:r>
              <w:rPr>
                <w:sz w:val="21"/>
              </w:rPr>
              <w:t>5.</w:t>
            </w:r>
            <w:r w:rsidR="005C6360">
              <w:rPr>
                <w:sz w:val="21"/>
              </w:rPr>
              <w:t xml:space="preserve"> “Waves” Bill Nye (DVD)</w:t>
            </w:r>
          </w:p>
          <w:p w:rsidR="0031404C" w:rsidRDefault="00F610C0" w:rsidP="0026398E">
            <w:pPr>
              <w:pStyle w:val="TableParagraph"/>
              <w:spacing w:line="241" w:lineRule="exact"/>
              <w:ind w:left="82" w:right="87"/>
              <w:rPr>
                <w:sz w:val="21"/>
              </w:rPr>
            </w:pPr>
            <w:r>
              <w:rPr>
                <w:sz w:val="21"/>
              </w:rPr>
              <w:t>6.</w:t>
            </w:r>
          </w:p>
          <w:p w:rsidR="0031404C" w:rsidRDefault="0031404C">
            <w:pPr>
              <w:pStyle w:val="TableParagraph"/>
              <w:spacing w:before="5"/>
              <w:rPr>
                <w:rFonts w:ascii="Georgia"/>
                <w:b/>
                <w:sz w:val="21"/>
              </w:rPr>
            </w:pPr>
          </w:p>
          <w:p w:rsidR="0031404C" w:rsidRDefault="00F610C0">
            <w:pPr>
              <w:pStyle w:val="TableParagraph"/>
              <w:ind w:left="100"/>
              <w:rPr>
                <w:b/>
                <w:sz w:val="21"/>
              </w:rPr>
            </w:pPr>
            <w:r>
              <w:rPr>
                <w:b/>
                <w:sz w:val="21"/>
              </w:rPr>
              <w:t>Supporting Works will be introduced/taught in the following order:</w:t>
            </w:r>
          </w:p>
          <w:p w:rsidR="005C6360" w:rsidRDefault="005C6360" w:rsidP="005C6360">
            <w:pPr>
              <w:pStyle w:val="TableParagraph"/>
              <w:numPr>
                <w:ilvl w:val="0"/>
                <w:numId w:val="13"/>
              </w:numPr>
              <w:rPr>
                <w:b/>
                <w:sz w:val="21"/>
              </w:rPr>
            </w:pPr>
            <w:r>
              <w:rPr>
                <w:b/>
                <w:sz w:val="21"/>
              </w:rPr>
              <w:t>Poems</w:t>
            </w:r>
          </w:p>
          <w:p w:rsidR="005C6360" w:rsidRDefault="005C6360" w:rsidP="005C6360">
            <w:pPr>
              <w:pStyle w:val="TableParagraph"/>
              <w:numPr>
                <w:ilvl w:val="0"/>
                <w:numId w:val="13"/>
              </w:numPr>
              <w:rPr>
                <w:b/>
                <w:sz w:val="21"/>
              </w:rPr>
            </w:pPr>
            <w:r>
              <w:rPr>
                <w:b/>
                <w:sz w:val="21"/>
              </w:rPr>
              <w:t>Bill Nye DVD</w:t>
            </w:r>
          </w:p>
          <w:p w:rsidR="005C6360" w:rsidRDefault="005C6360" w:rsidP="005C6360">
            <w:pPr>
              <w:pStyle w:val="TableParagraph"/>
              <w:numPr>
                <w:ilvl w:val="0"/>
                <w:numId w:val="13"/>
              </w:numPr>
              <w:rPr>
                <w:b/>
                <w:sz w:val="21"/>
              </w:rPr>
            </w:pPr>
            <w:r>
              <w:rPr>
                <w:b/>
                <w:sz w:val="21"/>
              </w:rPr>
              <w:t>Infographics (in order listed)</w:t>
            </w:r>
          </w:p>
          <w:p w:rsidR="005C6360" w:rsidRDefault="005C6360" w:rsidP="005C6360">
            <w:pPr>
              <w:pStyle w:val="TableParagraph"/>
              <w:numPr>
                <w:ilvl w:val="0"/>
                <w:numId w:val="13"/>
              </w:numPr>
              <w:rPr>
                <w:b/>
                <w:sz w:val="21"/>
              </w:rPr>
            </w:pPr>
            <w:r>
              <w:rPr>
                <w:b/>
                <w:sz w:val="21"/>
              </w:rPr>
              <w:t>*Articles and Novel will be ongoing from the beginning of the unit</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31404C" w:rsidRDefault="00C869E6">
            <w:pPr>
              <w:pStyle w:val="TableParagraph"/>
              <w:rPr>
                <w:rFonts w:ascii="Times New Roman"/>
                <w:sz w:val="20"/>
              </w:rPr>
            </w:pPr>
            <w:r>
              <w:rPr>
                <w:rFonts w:ascii="Times New Roman"/>
                <w:sz w:val="20"/>
              </w:rPr>
              <w:t>GLE 0707.11.5 Compare and contrast the basic parts of a wave.</w:t>
            </w:r>
          </w:p>
          <w:p w:rsidR="00C869E6" w:rsidRDefault="00C869E6">
            <w:pPr>
              <w:pStyle w:val="TableParagraph"/>
              <w:rPr>
                <w:rFonts w:ascii="Times New Roman"/>
                <w:sz w:val="20"/>
              </w:rPr>
            </w:pPr>
            <w:r>
              <w:rPr>
                <w:rFonts w:ascii="Times New Roman"/>
                <w:sz w:val="20"/>
              </w:rPr>
              <w:t>GLE 0707.11.6  Investigate the types and fundamental properties of waves.</w:t>
            </w:r>
          </w:p>
          <w:p w:rsidR="00C869E6" w:rsidRDefault="00C869E6">
            <w:pPr>
              <w:pStyle w:val="TableParagraph"/>
              <w:rPr>
                <w:rFonts w:ascii="Times New Roman"/>
                <w:sz w:val="20"/>
              </w:rPr>
            </w:pPr>
            <w:r>
              <w:rPr>
                <w:rFonts w:ascii="Times New Roman"/>
                <w:sz w:val="20"/>
              </w:rPr>
              <w:t>8.PS4 Develop and use models to represent the basic properties of waves including frequency, amplitude, wavelength, and speed.</w:t>
            </w:r>
          </w:p>
          <w:p w:rsidR="00C869E6" w:rsidRDefault="00C869E6" w:rsidP="00C869E6">
            <w:pPr>
              <w:pStyle w:val="TableParagraph"/>
              <w:rPr>
                <w:rFonts w:ascii="Times New Roman"/>
                <w:sz w:val="20"/>
              </w:rPr>
            </w:pPr>
            <w:r>
              <w:rPr>
                <w:rFonts w:ascii="Times New Roman"/>
                <w:sz w:val="20"/>
              </w:rPr>
              <w:t xml:space="preserve">ELA  Write arguments to support claims with clear and relevant evidence.  Introduce claim(s), acknowledge, and distinguish the claim(s) from alternate </w:t>
            </w:r>
            <w:r w:rsidR="0053178F">
              <w:rPr>
                <w:rFonts w:ascii="Times New Roman"/>
                <w:sz w:val="20"/>
              </w:rPr>
              <w:t>or opposing claims and organize the reasons and evidence logically.</w:t>
            </w:r>
          </w:p>
          <w:p w:rsidR="0053178F" w:rsidRDefault="0053178F" w:rsidP="00C869E6">
            <w:pPr>
              <w:pStyle w:val="TableParagraph"/>
              <w:rPr>
                <w:rFonts w:ascii="Times New Roman"/>
                <w:sz w:val="20"/>
              </w:rPr>
            </w:pPr>
            <w:r>
              <w:rPr>
                <w:rFonts w:ascii="Times New Roman"/>
                <w:sz w:val="20"/>
              </w:rPr>
              <w:t>Support claim(s) with logical reasoning and relevant evidence, using accurate, credible sources and demonstrating an understanding of the topic or text.</w:t>
            </w: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53178F">
            <w:pPr>
              <w:pStyle w:val="TableParagraph"/>
              <w:rPr>
                <w:rFonts w:ascii="Times New Roman"/>
                <w:sz w:val="16"/>
              </w:rPr>
            </w:pPr>
            <w:r>
              <w:rPr>
                <w:rFonts w:ascii="Times New Roman"/>
                <w:sz w:val="16"/>
              </w:rPr>
              <w:t>Students should have a vocabulary list of  terms needed for this unit.</w:t>
            </w:r>
          </w:p>
        </w:tc>
        <w:tc>
          <w:tcPr>
            <w:tcW w:w="4676" w:type="dxa"/>
          </w:tcPr>
          <w:p w:rsidR="0031404C" w:rsidRDefault="0053178F">
            <w:pPr>
              <w:pStyle w:val="TableParagraph"/>
              <w:rPr>
                <w:rFonts w:ascii="Times New Roman"/>
                <w:sz w:val="16"/>
              </w:rPr>
            </w:pPr>
            <w:r>
              <w:rPr>
                <w:rFonts w:ascii="Times New Roman"/>
                <w:sz w:val="16"/>
              </w:rPr>
              <w:t>Students should have skills needed to follow  directions in order to complete a lab.</w:t>
            </w:r>
          </w:p>
        </w:tc>
      </w:tr>
      <w:tr w:rsidR="0031404C">
        <w:trPr>
          <w:trHeight w:val="22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81044E">
            <w:pPr>
              <w:pStyle w:val="TableParagraph"/>
              <w:rPr>
                <w:rFonts w:ascii="Times New Roman"/>
                <w:sz w:val="20"/>
              </w:rPr>
            </w:pPr>
            <w:r>
              <w:rPr>
                <w:rFonts w:ascii="Times New Roman"/>
                <w:sz w:val="20"/>
              </w:rPr>
              <w:t xml:space="preserve">The students will play a wave game and participate in a slinky lab, links for both can be found at </w:t>
            </w:r>
            <w:hyperlink r:id="rId23" w:history="1">
              <w:r w:rsidRPr="001A05C1">
                <w:rPr>
                  <w:rStyle w:val="Hyperlink"/>
                  <w:rFonts w:ascii="Times New Roman"/>
                  <w:sz w:val="20"/>
                </w:rPr>
                <w:t>www.oeydms.weebly.com/energy-and-waves.html</w:t>
              </w:r>
            </w:hyperlink>
            <w:r>
              <w:rPr>
                <w:rFonts w:ascii="Times New Roman"/>
                <w:sz w:val="20"/>
              </w:rPr>
              <w:t>.  There are other lesson plan ideas on this site as well.</w:t>
            </w:r>
            <w:bookmarkStart w:id="0" w:name="_GoBack"/>
            <w:bookmarkEnd w:id="0"/>
          </w:p>
        </w:tc>
      </w:tr>
    </w:tbl>
    <w:p w:rsidR="0031404C" w:rsidRDefault="0031404C" w:rsidP="007202F6">
      <w:pPr>
        <w:spacing w:before="4"/>
        <w:rPr>
          <w:rFonts w:ascii="Times New Roman"/>
          <w:sz w:val="10"/>
        </w:rPr>
      </w:pPr>
    </w:p>
    <w:sectPr w:rsidR="0031404C" w:rsidSect="007202F6">
      <w:headerReference w:type="default" r:id="rId24"/>
      <w:footerReference w:type="default" r:id="rId25"/>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6A7" w:rsidRDefault="001716A7">
      <w:r>
        <w:separator/>
      </w:r>
    </w:p>
  </w:endnote>
  <w:endnote w:type="continuationSeparator" w:id="0">
    <w:p w:rsidR="001716A7" w:rsidRDefault="0017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D52FAA">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17780" b="190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31404C">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6A7" w:rsidRDefault="001716A7">
      <w:r>
        <w:separator/>
      </w:r>
    </w:p>
  </w:footnote>
  <w:footnote w:type="continuationSeparator" w:id="0">
    <w:p w:rsidR="001716A7" w:rsidRDefault="001716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D52FAA">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0" t="0" r="17145"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14B" w:rsidRDefault="004F71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04C" w:rsidRDefault="0031404C">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nsid w:val="2C050401"/>
    <w:multiLevelType w:val="hybridMultilevel"/>
    <w:tmpl w:val="1B8A0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6">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7">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8">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9">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1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1">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2">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8"/>
  </w:num>
  <w:num w:numId="5">
    <w:abstractNumId w:val="0"/>
  </w:num>
  <w:num w:numId="6">
    <w:abstractNumId w:val="6"/>
  </w:num>
  <w:num w:numId="7">
    <w:abstractNumId w:val="11"/>
  </w:num>
  <w:num w:numId="8">
    <w:abstractNumId w:val="10"/>
  </w:num>
  <w:num w:numId="9">
    <w:abstractNumId w:val="7"/>
  </w:num>
  <w:num w:numId="10">
    <w:abstractNumId w:val="5"/>
  </w:num>
  <w:num w:numId="11">
    <w:abstractNumId w:val="12"/>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04C"/>
    <w:rsid w:val="001716A7"/>
    <w:rsid w:val="002108B0"/>
    <w:rsid w:val="0026398E"/>
    <w:rsid w:val="0031404C"/>
    <w:rsid w:val="004C2BDC"/>
    <w:rsid w:val="004F714B"/>
    <w:rsid w:val="0053178F"/>
    <w:rsid w:val="005C6360"/>
    <w:rsid w:val="007202F6"/>
    <w:rsid w:val="007D0FD2"/>
    <w:rsid w:val="0081044E"/>
    <w:rsid w:val="00A5609E"/>
    <w:rsid w:val="00C869E6"/>
    <w:rsid w:val="00D52FAA"/>
    <w:rsid w:val="00D92684"/>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character" w:styleId="Hyperlink">
    <w:name w:val="Hyperlink"/>
    <w:basedOn w:val="DefaultParagraphFont"/>
    <w:uiPriority w:val="99"/>
    <w:unhideWhenUsed/>
    <w:rsid w:val="00D926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character" w:styleId="Hyperlink">
    <w:name w:val="Hyperlink"/>
    <w:basedOn w:val="DefaultParagraphFont"/>
    <w:uiPriority w:val="99"/>
    <w:unhideWhenUsed/>
    <w:rsid w:val="00D926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online.kidsdiscover.com/unit/sound-and-vibration/topic/echoes-ultrasound-and-sona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aves-and-sound-2012-2013"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newsela.com/articles/la-earthquake/id/2540"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csso.org/" TargetMode="External"/><Relationship Id="rId20" Type="http://schemas.openxmlformats.org/officeDocument/2006/relationships/hyperlink" Target="http://www.slideshare.net/CarolUsher1/tsunami-poem-there-came-a-great-wav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oeydms.weebly.com/energy-and-waves.html" TargetMode="External"/><Relationship Id="rId10" Type="http://schemas.openxmlformats.org/officeDocument/2006/relationships/header" Target="header1.xml"/><Relationship Id="rId19" Type="http://schemas.openxmlformats.org/officeDocument/2006/relationships/hyperlink" Target="http://www.sciencepoems.net/sciencepoems/sound.aspx#ws/RWcGUK" TargetMode="External"/><Relationship Id="rId4" Type="http://schemas.microsoft.com/office/2007/relationships/stylesWithEffects" Target="stylesWithEffects.xml"/><Relationship Id="rId9" Type="http://schemas.openxmlformats.org/officeDocument/2006/relationships/hyperlink" Target="http://www.lexile.com/fab/" TargetMode="External"/><Relationship Id="rId14" Type="http://schemas.openxmlformats.org/officeDocument/2006/relationships/header" Target="header3.xml"/><Relationship Id="rId22" Type="http://schemas.openxmlformats.org/officeDocument/2006/relationships/hyperlink" Target="http://www.acs.psu.edu/drussel/Demos/waves/wavemotion.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08854-CCF4-439B-85C4-B46EEF3C1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OSSD</cp:lastModifiedBy>
  <cp:revision>2</cp:revision>
  <dcterms:created xsi:type="dcterms:W3CDTF">2017-05-26T14:28:00Z</dcterms:created>
  <dcterms:modified xsi:type="dcterms:W3CDTF">2017-05-26T14:28:00Z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