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 xml:space="preserve">The number of texts in a set can vary depending on purpose and resource availability. What is important is that the texts in the set are connected meaningfully to each other, build knowledge and vocabulary of a specific topic, and </w:t>
      </w:r>
      <w:proofErr w:type="gramStart"/>
      <w:r>
        <w:rPr>
          <w:sz w:val="20"/>
        </w:rPr>
        <w:t>that themes</w:t>
      </w:r>
      <w:proofErr w:type="gramEnd"/>
      <w:r>
        <w:rPr>
          <w:sz w:val="20"/>
        </w:rPr>
        <w:t xml:space="preserve">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F610C0">
            <w:pPr>
              <w:pStyle w:val="TableParagraph"/>
              <w:ind w:left="100" w:right="116"/>
              <w:rPr>
                <w:sz w:val="20"/>
              </w:rPr>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choose to first identify a topic for a unit of study and then seek out an anchor text around which to build the set. The most important part of this step is that the anchor text be a grade-level complex text that meets the complexity demands of the Standards and is worthy of the time and attention of students. Without a rich anchor text, it is impossible to create a worthwhile text set.</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31404C" w:rsidRDefault="00F610C0">
            <w:pPr>
              <w:pStyle w:val="TableParagraph"/>
              <w:ind w:left="100"/>
              <w:rPr>
                <w:sz w:val="20"/>
              </w:rPr>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organize texts according to quantitative measure (</w:t>
            </w:r>
            <w:hyperlink r:id="rId8">
              <w:r>
                <w:rPr>
                  <w:color w:val="0462C1"/>
                  <w:sz w:val="20"/>
                  <w:u w:val="single" w:color="0462C1"/>
                </w:rPr>
                <w:t>http://www.lexile.com/fab/</w:t>
              </w:r>
            </w:hyperlink>
            <w:r>
              <w:rPr>
                <w:sz w:val="20"/>
              </w:rPr>
              <w:t>).</w:t>
            </w: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p>
        </w:tc>
      </w:tr>
    </w:tbl>
    <w:p w:rsidR="0031404C" w:rsidRDefault="0031404C">
      <w:pPr>
        <w:spacing w:line="228" w:lineRule="exact"/>
        <w:rPr>
          <w:sz w:val="20"/>
        </w:rPr>
        <w:sectPr w:rsidR="0031404C">
          <w:headerReference w:type="even" r:id="rId9"/>
          <w:headerReference w:type="default" r:id="rId10"/>
          <w:footerReference w:type="even" r:id="rId11"/>
          <w:footerReference w:type="default" r:id="rId12"/>
          <w:headerReference w:type="first" r:id="rId13"/>
          <w:footerReference w:type="first" r:id="rId14"/>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5">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pPr>
        <w:pStyle w:val="Heading1"/>
      </w:pPr>
      <w:r>
        <w:lastRenderedPageBreak/>
        <w:t>Blank Text Set</w:t>
      </w:r>
    </w:p>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6430F9">
              <w:rPr>
                <w:b/>
                <w:sz w:val="21"/>
              </w:rPr>
              <w:t xml:space="preserve"> </w:t>
            </w:r>
            <w:r w:rsidR="006430F9" w:rsidRPr="006430F9">
              <w:rPr>
                <w:b/>
                <w:i/>
                <w:sz w:val="21"/>
              </w:rPr>
              <w:t>Genetic Applications</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6430F9">
              <w:rPr>
                <w:b/>
                <w:sz w:val="21"/>
              </w:rPr>
              <w:t xml:space="preserve"> 7</w:t>
            </w:r>
            <w:r w:rsidR="00C30CF5">
              <w:rPr>
                <w:b/>
                <w:sz w:val="21"/>
              </w:rPr>
              <w:t xml:space="preserve"> -High school</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6430F9" w:rsidRPr="006430F9" w:rsidRDefault="006430F9" w:rsidP="006430F9">
            <w:pPr>
              <w:widowControl/>
              <w:autoSpaceDE/>
              <w:autoSpaceDN/>
              <w:rPr>
                <w:rFonts w:ascii="Times New Roman" w:eastAsia="Times New Roman" w:hAnsi="Times New Roman" w:cs="Times New Roman"/>
              </w:rPr>
            </w:pPr>
            <w:r w:rsidRPr="006430F9">
              <w:rPr>
                <w:rFonts w:ascii="Times New Roman" w:eastAsia="Times New Roman" w:hAnsi="Times New Roman" w:cs="Times New Roman"/>
              </w:rPr>
              <w:t>GLE 0707.4.3</w:t>
            </w:r>
          </w:p>
          <w:p w:rsidR="006430F9" w:rsidRPr="006430F9" w:rsidRDefault="006430F9" w:rsidP="006430F9">
            <w:pPr>
              <w:widowControl/>
              <w:autoSpaceDE/>
              <w:autoSpaceDN/>
              <w:rPr>
                <w:rFonts w:ascii="Times New Roman" w:eastAsia="Times New Roman" w:hAnsi="Times New Roman" w:cs="Times New Roman"/>
              </w:rPr>
            </w:pPr>
            <w:r w:rsidRPr="006430F9">
              <w:rPr>
                <w:rFonts w:ascii="Times New Roman" w:eastAsia="Times New Roman" w:hAnsi="Times New Roman" w:cs="Times New Roman"/>
              </w:rPr>
              <w:t xml:space="preserve">Explain the relationship among genes, chromosomes, and inherited traits. </w:t>
            </w:r>
          </w:p>
          <w:p w:rsidR="0031404C" w:rsidRDefault="0031404C">
            <w:pPr>
              <w:pStyle w:val="TableParagraph"/>
              <w:rPr>
                <w:rFonts w:ascii="Times New Roman"/>
                <w:sz w:val="20"/>
              </w:rPr>
            </w:pP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Default="00F610C0">
            <w:pPr>
              <w:pStyle w:val="TableParagraph"/>
              <w:spacing w:line="236" w:lineRule="exact"/>
              <w:ind w:left="100"/>
              <w:rPr>
                <w:sz w:val="21"/>
              </w:rPr>
            </w:pPr>
            <w:r>
              <w:rPr>
                <w:b/>
                <w:sz w:val="21"/>
              </w:rPr>
              <w:t>Title:</w:t>
            </w:r>
            <w:r w:rsidR="00E83827">
              <w:rPr>
                <w:b/>
                <w:sz w:val="21"/>
              </w:rPr>
              <w:t xml:space="preserve">  Genetics Notes </w:t>
            </w:r>
          </w:p>
          <w:p w:rsidR="006E3ABD" w:rsidRDefault="006C64A4">
            <w:pPr>
              <w:pStyle w:val="TableParagraph"/>
              <w:spacing w:line="236" w:lineRule="exact"/>
              <w:ind w:left="100"/>
              <w:rPr>
                <w:b/>
                <w:sz w:val="21"/>
              </w:rPr>
            </w:pPr>
            <w:hyperlink r:id="rId16" w:history="1">
              <w:r w:rsidR="006E3ABD" w:rsidRPr="006E3ABD">
                <w:rPr>
                  <w:rStyle w:val="Hyperlink"/>
                  <w:b/>
                  <w:sz w:val="21"/>
                </w:rPr>
                <w:t>http://oneidamiddle.tn.odm.schoolinsites.com/?PageName=TeacherPage&amp;Page=3&amp;StaffID=149240&amp;iSection=Teachers&amp;CorrespondingID=149240</w:t>
              </w:r>
            </w:hyperlink>
            <w:r w:rsidR="00AB6B87">
              <w:rPr>
                <w:b/>
                <w:sz w:val="21"/>
              </w:rPr>
              <w:t xml:space="preserve"> (Slides 23-25 are the crux of the lesson)</w:t>
            </w:r>
          </w:p>
          <w:p w:rsidR="0031404C" w:rsidRDefault="00F610C0">
            <w:pPr>
              <w:pStyle w:val="TableParagraph"/>
              <w:spacing w:before="1" w:line="227" w:lineRule="exact"/>
              <w:ind w:left="100"/>
              <w:rPr>
                <w:b/>
                <w:sz w:val="21"/>
              </w:rPr>
            </w:pPr>
            <w:r>
              <w:rPr>
                <w:b/>
                <w:sz w:val="21"/>
              </w:rPr>
              <w:t>Author:</w:t>
            </w:r>
            <w:r w:rsidR="00E83827">
              <w:rPr>
                <w:b/>
                <w:sz w:val="21"/>
              </w:rPr>
              <w:t xml:space="preserve"> Devlin Marcum</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Default="00F610C0">
            <w:pPr>
              <w:pStyle w:val="TableParagraph"/>
              <w:spacing w:line="241" w:lineRule="exact"/>
              <w:ind w:left="82" w:right="6256"/>
              <w:jc w:val="center"/>
              <w:rPr>
                <w:sz w:val="21"/>
              </w:rPr>
            </w:pPr>
            <w:r>
              <w:rPr>
                <w:sz w:val="21"/>
              </w:rPr>
              <w:t>1.</w:t>
            </w:r>
            <w:r w:rsidR="00200FAC">
              <w:t xml:space="preserve"> </w:t>
            </w:r>
            <w:r w:rsidR="00200FAC">
              <w:rPr>
                <w:sz w:val="21"/>
              </w:rPr>
              <w:t xml:space="preserve">The </w:t>
            </w:r>
            <w:r w:rsidR="00200FAC" w:rsidRPr="00200FAC">
              <w:rPr>
                <w:sz w:val="21"/>
              </w:rPr>
              <w:t>House of the Scorpion</w:t>
            </w:r>
          </w:p>
          <w:p w:rsidR="0031404C" w:rsidRDefault="00F610C0">
            <w:pPr>
              <w:pStyle w:val="TableParagraph"/>
              <w:spacing w:before="1"/>
              <w:ind w:left="82" w:right="6256"/>
              <w:jc w:val="center"/>
              <w:rPr>
                <w:sz w:val="21"/>
              </w:rPr>
            </w:pPr>
            <w:r>
              <w:rPr>
                <w:sz w:val="21"/>
              </w:rPr>
              <w:t>2.</w:t>
            </w:r>
            <w:r w:rsidR="00200FAC">
              <w:t xml:space="preserve"> </w:t>
            </w:r>
            <w:r w:rsidR="00200FAC">
              <w:rPr>
                <w:sz w:val="21"/>
              </w:rPr>
              <w:t>Science of Superher</w:t>
            </w:r>
            <w:r w:rsidR="00200FAC" w:rsidRPr="00200FAC">
              <w:rPr>
                <w:sz w:val="21"/>
              </w:rPr>
              <w:t>oes</w:t>
            </w:r>
          </w:p>
          <w:p w:rsidR="00200FAC" w:rsidRDefault="00200FAC">
            <w:pPr>
              <w:pStyle w:val="TableParagraph"/>
              <w:spacing w:before="1"/>
              <w:ind w:left="82" w:right="6256"/>
              <w:jc w:val="center"/>
              <w:rPr>
                <w:sz w:val="21"/>
              </w:rPr>
            </w:pPr>
            <w:r>
              <w:rPr>
                <w:sz w:val="21"/>
              </w:rPr>
              <w:t>3.</w:t>
            </w:r>
            <w:r>
              <w:t xml:space="preserve"> </w:t>
            </w:r>
            <w:r w:rsidRPr="00200FAC">
              <w:rPr>
                <w:sz w:val="21"/>
              </w:rPr>
              <w:t>Genetic Engineering:</w:t>
            </w:r>
            <w:bookmarkStart w:id="0" w:name="_GoBack"/>
            <w:bookmarkEnd w:id="0"/>
          </w:p>
          <w:p w:rsidR="0031404C" w:rsidRDefault="00F610C0">
            <w:pPr>
              <w:pStyle w:val="TableParagraph"/>
              <w:spacing w:before="1" w:line="241" w:lineRule="exact"/>
              <w:ind w:left="82" w:right="6243"/>
              <w:jc w:val="center"/>
              <w:rPr>
                <w:b/>
                <w:sz w:val="21"/>
              </w:rPr>
            </w:pPr>
            <w:r>
              <w:rPr>
                <w:b/>
                <w:sz w:val="21"/>
              </w:rPr>
              <w:t>Article(s)</w:t>
            </w:r>
          </w:p>
          <w:p w:rsidR="006E3ABD" w:rsidRDefault="00F610C0">
            <w:pPr>
              <w:pStyle w:val="TableParagraph"/>
              <w:spacing w:line="241" w:lineRule="exact"/>
              <w:ind w:left="82" w:right="6256"/>
              <w:jc w:val="center"/>
              <w:rPr>
                <w:sz w:val="21"/>
              </w:rPr>
            </w:pPr>
            <w:r>
              <w:rPr>
                <w:sz w:val="21"/>
              </w:rPr>
              <w:t>3.</w:t>
            </w:r>
          </w:p>
          <w:p w:rsidR="0031404C" w:rsidRDefault="006E3ABD">
            <w:pPr>
              <w:pStyle w:val="TableParagraph"/>
              <w:spacing w:line="241" w:lineRule="exact"/>
              <w:ind w:left="82" w:right="6256"/>
              <w:jc w:val="center"/>
            </w:pPr>
            <w:proofErr w:type="spellStart"/>
            <w:r>
              <w:rPr>
                <w:b/>
              </w:rPr>
              <w:t>Newsel</w:t>
            </w:r>
            <w:r w:rsidR="00E83827" w:rsidRPr="00E83827">
              <w:rPr>
                <w:b/>
              </w:rPr>
              <w:t>a</w:t>
            </w:r>
            <w:proofErr w:type="spellEnd"/>
            <w:r w:rsidR="00E83827" w:rsidRPr="00E83827">
              <w:rPr>
                <w:b/>
              </w:rPr>
              <w:t xml:space="preserve"> text set</w:t>
            </w:r>
            <w:r w:rsidR="00E83827">
              <w:t xml:space="preserve"> </w:t>
            </w:r>
          </w:p>
          <w:p w:rsidR="006E3ABD" w:rsidRDefault="006C64A4">
            <w:pPr>
              <w:pStyle w:val="TableParagraph"/>
              <w:spacing w:line="241" w:lineRule="exact"/>
              <w:ind w:left="82" w:right="6256"/>
              <w:jc w:val="center"/>
              <w:rPr>
                <w:sz w:val="21"/>
              </w:rPr>
            </w:pPr>
            <w:hyperlink r:id="rId17" w:history="1">
              <w:r w:rsidR="006E3ABD" w:rsidRPr="006E3ABD">
                <w:rPr>
                  <w:rStyle w:val="Hyperlink"/>
                  <w:sz w:val="21"/>
                </w:rPr>
                <w:t>https://newsela.com/text-sets/202391/marcumoverviewgeneediting</w:t>
              </w:r>
            </w:hyperlink>
          </w:p>
          <w:p w:rsidR="0031404C" w:rsidRDefault="00F610C0">
            <w:pPr>
              <w:pStyle w:val="TableParagraph"/>
              <w:spacing w:before="1" w:line="241" w:lineRule="exact"/>
              <w:ind w:left="82" w:right="6256"/>
              <w:jc w:val="center"/>
              <w:rPr>
                <w:sz w:val="21"/>
              </w:rPr>
            </w:pPr>
            <w:r>
              <w:rPr>
                <w:sz w:val="21"/>
              </w:rPr>
              <w:t>4.</w:t>
            </w:r>
            <w:hyperlink r:id="rId18" w:history="1">
              <w:r w:rsidR="00601BBD" w:rsidRPr="00601BBD">
                <w:rPr>
                  <w:rStyle w:val="Hyperlink"/>
                  <w:sz w:val="21"/>
                </w:rPr>
                <w:t>http://www.popsci.com/nih-director-says-hell-no-editing-human-embryos</w:t>
              </w:r>
            </w:hyperlink>
          </w:p>
          <w:p w:rsidR="0031404C" w:rsidRDefault="00F610C0">
            <w:pPr>
              <w:pStyle w:val="TableParagraph"/>
              <w:spacing w:line="241" w:lineRule="exact"/>
              <w:ind w:left="82" w:right="6323"/>
              <w:jc w:val="center"/>
              <w:rPr>
                <w:b/>
                <w:sz w:val="21"/>
              </w:rPr>
            </w:pPr>
            <w:r>
              <w:rPr>
                <w:b/>
                <w:sz w:val="21"/>
              </w:rPr>
              <w:t>Poem(s)</w:t>
            </w:r>
          </w:p>
          <w:p w:rsidR="0031404C" w:rsidRDefault="00F610C0">
            <w:pPr>
              <w:pStyle w:val="TableParagraph"/>
              <w:spacing w:before="1"/>
              <w:ind w:left="82" w:right="6256"/>
              <w:jc w:val="center"/>
              <w:rPr>
                <w:sz w:val="21"/>
              </w:rPr>
            </w:pPr>
            <w:r>
              <w:rPr>
                <w:sz w:val="21"/>
              </w:rPr>
              <w:t>1.</w:t>
            </w:r>
          </w:p>
          <w:p w:rsidR="0031404C" w:rsidRDefault="00F610C0">
            <w:pPr>
              <w:pStyle w:val="TableParagraph"/>
              <w:spacing w:line="241" w:lineRule="exact"/>
              <w:ind w:left="82" w:right="6256"/>
              <w:jc w:val="center"/>
              <w:rPr>
                <w:sz w:val="21"/>
              </w:rPr>
            </w:pPr>
            <w:r>
              <w:rPr>
                <w:sz w:val="21"/>
              </w:rPr>
              <w:t>2.</w:t>
            </w:r>
          </w:p>
          <w:p w:rsidR="0031404C" w:rsidRDefault="00F610C0">
            <w:pPr>
              <w:pStyle w:val="TableParagraph"/>
              <w:spacing w:line="241" w:lineRule="exact"/>
              <w:ind w:left="100"/>
              <w:rPr>
                <w:b/>
                <w:sz w:val="21"/>
              </w:rPr>
            </w:pPr>
            <w:r>
              <w:rPr>
                <w:b/>
                <w:sz w:val="21"/>
              </w:rPr>
              <w:t>Infographic(s)</w:t>
            </w:r>
          </w:p>
          <w:p w:rsidR="0031404C" w:rsidRDefault="00F610C0">
            <w:pPr>
              <w:pStyle w:val="TableParagraph"/>
              <w:spacing w:before="1"/>
              <w:ind w:left="82" w:right="6256"/>
              <w:jc w:val="center"/>
              <w:rPr>
                <w:sz w:val="21"/>
              </w:rPr>
            </w:pPr>
            <w:r>
              <w:rPr>
                <w:sz w:val="21"/>
              </w:rPr>
              <w:t>3.</w:t>
            </w:r>
            <w:hyperlink r:id="rId19" w:history="1">
              <w:r w:rsidR="00546463" w:rsidRPr="00546463">
                <w:rPr>
                  <w:rStyle w:val="Hyperlink"/>
                  <w:sz w:val="21"/>
                </w:rPr>
                <w:t>http://w</w:t>
              </w:r>
              <w:r w:rsidR="00546463" w:rsidRPr="00546463">
                <w:rPr>
                  <w:rStyle w:val="Hyperlink"/>
                  <w:sz w:val="21"/>
                </w:rPr>
                <w:lastRenderedPageBreak/>
                <w:t>ww.pbs.org/wgbh/harvest/engineer/transgen.html</w:t>
              </w:r>
            </w:hyperlink>
          </w:p>
          <w:p w:rsidR="0031404C" w:rsidRDefault="00F610C0">
            <w:pPr>
              <w:pStyle w:val="TableParagraph"/>
              <w:spacing w:line="241" w:lineRule="exact"/>
              <w:ind w:left="82" w:right="6256"/>
              <w:jc w:val="center"/>
              <w:rPr>
                <w:sz w:val="21"/>
              </w:rPr>
            </w:pPr>
            <w:r>
              <w:rPr>
                <w:sz w:val="21"/>
              </w:rPr>
              <w:t>4.</w:t>
            </w:r>
          </w:p>
          <w:p w:rsidR="0031404C" w:rsidRDefault="00F610C0">
            <w:pPr>
              <w:pStyle w:val="TableParagraph"/>
              <w:spacing w:line="241" w:lineRule="exact"/>
              <w:ind w:left="100"/>
              <w:rPr>
                <w:b/>
                <w:sz w:val="21"/>
              </w:rPr>
            </w:pPr>
            <w:r>
              <w:rPr>
                <w:b/>
                <w:sz w:val="21"/>
              </w:rPr>
              <w:t>Other Media</w:t>
            </w:r>
          </w:p>
          <w:p w:rsidR="0031404C" w:rsidRDefault="00F610C0">
            <w:pPr>
              <w:pStyle w:val="TableParagraph"/>
              <w:spacing w:before="1" w:line="241" w:lineRule="exact"/>
              <w:ind w:left="82" w:right="6256"/>
              <w:jc w:val="center"/>
              <w:rPr>
                <w:sz w:val="21"/>
              </w:rPr>
            </w:pPr>
            <w:r>
              <w:rPr>
                <w:sz w:val="21"/>
              </w:rPr>
              <w:t>5.</w:t>
            </w:r>
            <w:r w:rsidR="00F9080E">
              <w:t xml:space="preserve"> </w:t>
            </w:r>
            <w:hyperlink r:id="rId20" w:history="1">
              <w:r w:rsidR="0094145A" w:rsidRPr="0094145A">
                <w:rPr>
                  <w:rStyle w:val="Hyperlink"/>
                </w:rPr>
                <w:t>https://www.genome.gov/25020028/</w:t>
              </w:r>
            </w:hyperlink>
          </w:p>
          <w:p w:rsidR="0031404C" w:rsidRDefault="00F610C0">
            <w:pPr>
              <w:pStyle w:val="TableParagraph"/>
              <w:spacing w:line="241" w:lineRule="exact"/>
              <w:ind w:left="82" w:right="6256"/>
              <w:jc w:val="center"/>
              <w:rPr>
                <w:sz w:val="21"/>
              </w:rPr>
            </w:pPr>
            <w:r>
              <w:rPr>
                <w:sz w:val="21"/>
              </w:rPr>
              <w:t>6.</w:t>
            </w:r>
            <w:r w:rsidR="00CA27F9">
              <w:t xml:space="preserve"> </w:t>
            </w:r>
            <w:hyperlink r:id="rId21" w:history="1">
              <w:r w:rsidR="0094145A" w:rsidRPr="0094145A">
                <w:rPr>
                  <w:rStyle w:val="Hyperlink"/>
                </w:rPr>
                <w:t>http://learn.genetics.utah.edu/content/cloning/clickandclone/</w:t>
              </w:r>
            </w:hyperlink>
          </w:p>
          <w:p w:rsidR="0031404C" w:rsidRDefault="008940A7">
            <w:pPr>
              <w:pStyle w:val="TableParagraph"/>
              <w:spacing w:before="5"/>
              <w:rPr>
                <w:rFonts w:ascii="Georgia"/>
                <w:b/>
                <w:sz w:val="21"/>
              </w:rPr>
            </w:pPr>
            <w:r>
              <w:rPr>
                <w:rFonts w:ascii="Georgia"/>
                <w:b/>
                <w:sz w:val="21"/>
              </w:rPr>
              <w:t>7.</w:t>
            </w:r>
          </w:p>
          <w:p w:rsidR="008940A7" w:rsidRDefault="006C64A4">
            <w:pPr>
              <w:pStyle w:val="TableParagraph"/>
              <w:spacing w:before="5"/>
              <w:rPr>
                <w:rFonts w:ascii="Georgia"/>
                <w:b/>
                <w:sz w:val="21"/>
              </w:rPr>
            </w:pPr>
            <w:hyperlink r:id="rId22" w:anchor=".WP3p0mfauM8" w:history="1">
              <w:r w:rsidR="008940A7" w:rsidRPr="008940A7">
                <w:rPr>
                  <w:rStyle w:val="Hyperlink"/>
                  <w:rFonts w:ascii="Georgia"/>
                  <w:b/>
                  <w:sz w:val="21"/>
                </w:rPr>
                <w:t>https://tnlearn.pbslearningmedia.org/resource/tdc02.sci.life.gen.lp_hgpethics/ethical-issues-in-the-human-genome-project/#.WP3p0mfauM8</w:t>
              </w:r>
            </w:hyperlink>
          </w:p>
          <w:p w:rsidR="004D5D61" w:rsidRDefault="004D5D61">
            <w:pPr>
              <w:pStyle w:val="TableParagraph"/>
              <w:spacing w:before="5"/>
              <w:rPr>
                <w:rFonts w:ascii="Georgia"/>
                <w:b/>
                <w:sz w:val="21"/>
              </w:rPr>
            </w:pPr>
          </w:p>
          <w:p w:rsidR="004D5D61" w:rsidRDefault="004D5D61">
            <w:pPr>
              <w:pStyle w:val="TableParagraph"/>
              <w:spacing w:before="5"/>
              <w:rPr>
                <w:rFonts w:ascii="Georgia"/>
                <w:b/>
                <w:sz w:val="21"/>
              </w:rPr>
            </w:pPr>
            <w:r>
              <w:rPr>
                <w:rFonts w:ascii="Georgia"/>
                <w:b/>
                <w:sz w:val="21"/>
              </w:rPr>
              <w:t>8.</w:t>
            </w:r>
            <w:hyperlink r:id="rId23" w:history="1">
              <w:r w:rsidRPr="004D5D61">
                <w:rPr>
                  <w:rStyle w:val="Hyperlink"/>
                  <w:rFonts w:ascii="Georgia"/>
                  <w:b/>
                  <w:sz w:val="21"/>
                </w:rPr>
                <w:t>https://en.wikipedia.org/wiki/List_of_genetic_disorders</w:t>
              </w:r>
            </w:hyperlink>
          </w:p>
          <w:p w:rsidR="0031404C" w:rsidRDefault="00F610C0">
            <w:pPr>
              <w:pStyle w:val="TableParagraph"/>
              <w:ind w:left="100"/>
              <w:rPr>
                <w:b/>
                <w:sz w:val="21"/>
              </w:rPr>
            </w:pPr>
            <w:r>
              <w:rPr>
                <w:b/>
                <w:sz w:val="21"/>
              </w:rPr>
              <w:t>Supporting Works will be introduced/taught in the following order:</w:t>
            </w:r>
          </w:p>
          <w:p w:rsidR="00CA27F9" w:rsidRDefault="00CA27F9">
            <w:pPr>
              <w:pStyle w:val="TableParagraph"/>
              <w:ind w:left="100"/>
              <w:rPr>
                <w:b/>
                <w:sz w:val="21"/>
              </w:rPr>
            </w:pPr>
            <w:r>
              <w:rPr>
                <w:b/>
                <w:sz w:val="21"/>
              </w:rPr>
              <w:t>In the order they appear on the list.</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lastRenderedPageBreak/>
              <w:t>Standards</w:t>
            </w:r>
          </w:p>
        </w:tc>
        <w:tc>
          <w:tcPr>
            <w:tcW w:w="7286" w:type="dxa"/>
            <w:gridSpan w:val="2"/>
          </w:tcPr>
          <w:p w:rsidR="0031404C" w:rsidRDefault="00CA27F9">
            <w:pPr>
              <w:pStyle w:val="TableParagraph"/>
              <w:rPr>
                <w:rFonts w:ascii="Times New Roman"/>
                <w:sz w:val="20"/>
              </w:rPr>
            </w:pPr>
            <w:r>
              <w:rPr>
                <w:rFonts w:ascii="Times New Roman"/>
                <w:sz w:val="20"/>
              </w:rPr>
              <w:t>See enduring understandings.</w:t>
            </w:r>
          </w:p>
          <w:p w:rsidR="000C08D3" w:rsidRPr="000C08D3" w:rsidRDefault="000C08D3" w:rsidP="000C08D3">
            <w:pPr>
              <w:rPr>
                <w:rFonts w:ascii="Times New Roman"/>
                <w:b/>
                <w:sz w:val="20"/>
              </w:rPr>
            </w:pPr>
            <w:r w:rsidRPr="000C08D3">
              <w:rPr>
                <w:rFonts w:ascii="Times New Roman"/>
                <w:b/>
                <w:sz w:val="20"/>
              </w:rPr>
              <w:t xml:space="preserve">New standards </w:t>
            </w:r>
          </w:p>
          <w:p w:rsidR="000C08D3" w:rsidRDefault="000C08D3" w:rsidP="000C08D3">
            <w:pPr>
              <w:rPr>
                <w:rFonts w:eastAsia="Times New Roman"/>
                <w:sz w:val="20"/>
                <w:szCs w:val="20"/>
              </w:rPr>
            </w:pPr>
            <w:r w:rsidRPr="000C08D3">
              <w:rPr>
                <w:rFonts w:eastAsia="Times New Roman"/>
                <w:sz w:val="20"/>
                <w:szCs w:val="20"/>
              </w:rPr>
              <w:t>Hypothesize that the impact of structural changes to genes (i.e. mutations) located on chromosomes may result in harmful, beneficial, or neutral effects to the structure and function of the organism</w:t>
            </w:r>
          </w:p>
          <w:p w:rsidR="000C08D3" w:rsidRPr="000C08D3" w:rsidRDefault="000C08D3" w:rsidP="000C08D3">
            <w:pPr>
              <w:widowControl/>
              <w:autoSpaceDE/>
              <w:autoSpaceDN/>
              <w:rPr>
                <w:rFonts w:eastAsia="Times New Roman"/>
                <w:sz w:val="20"/>
                <w:szCs w:val="20"/>
              </w:rPr>
            </w:pPr>
            <w:r w:rsidRPr="000C08D3">
              <w:rPr>
                <w:rFonts w:eastAsia="Times New Roman"/>
                <w:sz w:val="20"/>
                <w:szCs w:val="20"/>
              </w:rPr>
              <w:t>Examine a problem from the medical field pertaining to biomaterials and design a solution taking into consideration the criteria, constraints, and relevant scientific principles of the problem that may limit possible solutions.</w:t>
            </w:r>
          </w:p>
          <w:p w:rsidR="000C08D3" w:rsidRPr="002C333D" w:rsidRDefault="002C333D" w:rsidP="000C08D3">
            <w:pPr>
              <w:rPr>
                <w:rFonts w:eastAsia="Times New Roman"/>
                <w:b/>
                <w:sz w:val="20"/>
                <w:szCs w:val="20"/>
              </w:rPr>
            </w:pPr>
            <w:r w:rsidRPr="002C333D">
              <w:rPr>
                <w:rFonts w:eastAsia="Times New Roman"/>
                <w:b/>
                <w:sz w:val="20"/>
                <w:szCs w:val="20"/>
              </w:rPr>
              <w:t>ELA</w:t>
            </w:r>
          </w:p>
          <w:p w:rsidR="002C333D" w:rsidRPr="002C333D" w:rsidRDefault="002C333D" w:rsidP="002C333D">
            <w:pPr>
              <w:widowControl/>
              <w:autoSpaceDE/>
              <w:autoSpaceDN/>
              <w:rPr>
                <w:rFonts w:eastAsia="Times New Roman"/>
                <w:sz w:val="20"/>
                <w:szCs w:val="20"/>
              </w:rPr>
            </w:pPr>
            <w:r w:rsidRPr="002C333D">
              <w:rPr>
                <w:rFonts w:eastAsia="Times New Roman"/>
                <w:sz w:val="20"/>
                <w:szCs w:val="20"/>
              </w:rPr>
              <w:t xml:space="preserve">Write arguments to support claims with clear reasons and relevant </w:t>
            </w:r>
            <w:proofErr w:type="spellStart"/>
            <w:r w:rsidRPr="002C333D">
              <w:rPr>
                <w:rFonts w:eastAsia="Times New Roman"/>
                <w:sz w:val="20"/>
                <w:szCs w:val="20"/>
              </w:rPr>
              <w:t>evidence.a</w:t>
            </w:r>
            <w:proofErr w:type="spellEnd"/>
            <w:r w:rsidRPr="002C333D">
              <w:rPr>
                <w:rFonts w:eastAsia="Times New Roman"/>
                <w:sz w:val="20"/>
                <w:szCs w:val="20"/>
              </w:rPr>
              <w:t>.</w:t>
            </w:r>
          </w:p>
          <w:p w:rsidR="002C333D" w:rsidRDefault="002C333D" w:rsidP="002C333D">
            <w:pPr>
              <w:widowControl/>
              <w:autoSpaceDE/>
              <w:autoSpaceDN/>
              <w:rPr>
                <w:rFonts w:eastAsia="Times New Roman"/>
                <w:sz w:val="20"/>
                <w:szCs w:val="20"/>
              </w:rPr>
            </w:pPr>
            <w:r w:rsidRPr="002C333D">
              <w:rPr>
                <w:rFonts w:eastAsia="Times New Roman"/>
                <w:sz w:val="20"/>
                <w:szCs w:val="20"/>
              </w:rPr>
              <w:t>Introduce claim(s) acknowledge and distinguish the claim(s) from alternate or opposing claims and organize the reasons and evidence logically.</w:t>
            </w:r>
          </w:p>
          <w:p w:rsidR="002C333D" w:rsidRPr="002C333D" w:rsidRDefault="002C333D" w:rsidP="002C333D">
            <w:pPr>
              <w:widowControl/>
              <w:autoSpaceDE/>
              <w:autoSpaceDN/>
              <w:rPr>
                <w:rFonts w:eastAsia="Times New Roman"/>
                <w:sz w:val="20"/>
                <w:szCs w:val="20"/>
              </w:rPr>
            </w:pPr>
          </w:p>
          <w:p w:rsidR="002C333D" w:rsidRPr="002C333D" w:rsidRDefault="002C333D" w:rsidP="002C333D">
            <w:pPr>
              <w:widowControl/>
              <w:autoSpaceDE/>
              <w:autoSpaceDN/>
              <w:rPr>
                <w:rFonts w:eastAsia="Times New Roman"/>
                <w:sz w:val="20"/>
                <w:szCs w:val="20"/>
              </w:rPr>
            </w:pPr>
            <w:r w:rsidRPr="002C333D">
              <w:rPr>
                <w:rFonts w:eastAsia="Times New Roman"/>
                <w:sz w:val="20"/>
                <w:szCs w:val="20"/>
              </w:rPr>
              <w:t xml:space="preserve">Support claim(s) with logical reasoning and relevant evidence, using accurate, </w:t>
            </w:r>
          </w:p>
          <w:p w:rsidR="002C333D" w:rsidRPr="002C333D" w:rsidRDefault="002C333D" w:rsidP="002C333D">
            <w:pPr>
              <w:widowControl/>
              <w:autoSpaceDE/>
              <w:autoSpaceDN/>
              <w:rPr>
                <w:rFonts w:eastAsia="Times New Roman"/>
                <w:sz w:val="20"/>
                <w:szCs w:val="20"/>
              </w:rPr>
            </w:pPr>
            <w:proofErr w:type="gramStart"/>
            <w:r w:rsidRPr="002C333D">
              <w:rPr>
                <w:rFonts w:eastAsia="Times New Roman"/>
                <w:sz w:val="20"/>
                <w:szCs w:val="20"/>
              </w:rPr>
              <w:t>credible</w:t>
            </w:r>
            <w:proofErr w:type="gramEnd"/>
            <w:r w:rsidRPr="002C333D">
              <w:rPr>
                <w:rFonts w:eastAsia="Times New Roman"/>
                <w:sz w:val="20"/>
                <w:szCs w:val="20"/>
              </w:rPr>
              <w:t xml:space="preserve"> sources and demonstrating an understanding of the topic or text.</w:t>
            </w:r>
          </w:p>
          <w:p w:rsidR="002C333D" w:rsidRPr="000C08D3" w:rsidRDefault="002C333D" w:rsidP="000C08D3">
            <w:pPr>
              <w:rPr>
                <w:rFonts w:eastAsia="Times New Roman"/>
                <w:sz w:val="20"/>
                <w:szCs w:val="20"/>
              </w:rPr>
            </w:pPr>
          </w:p>
          <w:p w:rsidR="000C08D3" w:rsidRDefault="000C08D3">
            <w:pPr>
              <w:pStyle w:val="TableParagraph"/>
              <w:rPr>
                <w:rFonts w:ascii="Times New Roman"/>
                <w:sz w:val="20"/>
              </w:rPr>
            </w:pP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2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CA27F9">
            <w:pPr>
              <w:pStyle w:val="TableParagraph"/>
              <w:rPr>
                <w:rFonts w:ascii="Times New Roman"/>
                <w:sz w:val="20"/>
              </w:rPr>
            </w:pPr>
            <w:r>
              <w:rPr>
                <w:rFonts w:ascii="Times New Roman"/>
                <w:sz w:val="20"/>
              </w:rPr>
              <w:t xml:space="preserve">The students will complete a </w:t>
            </w:r>
            <w:r w:rsidR="00981C60">
              <w:rPr>
                <w:rFonts w:ascii="Times New Roman"/>
                <w:sz w:val="20"/>
              </w:rPr>
              <w:t>presentation (both visual &amp; oral) detailing how this knowledge &amp; technology of cloning, gene splicing or both can be used to make a positive difference in the world but also detailing possible abuses &amp; moral implications of the processes as well.</w:t>
            </w:r>
          </w:p>
        </w:tc>
      </w:tr>
    </w:tbl>
    <w:p w:rsidR="0031404C" w:rsidRDefault="0031404C" w:rsidP="007202F6">
      <w:pPr>
        <w:spacing w:before="4"/>
        <w:rPr>
          <w:rFonts w:ascii="Times New Roman"/>
          <w:sz w:val="10"/>
        </w:rPr>
      </w:pPr>
    </w:p>
    <w:sectPr w:rsidR="0031404C" w:rsidSect="007202F6">
      <w:headerReference w:type="default" r:id="rId24"/>
      <w:footerReference w:type="default" r:id="rId25"/>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4A4" w:rsidRDefault="006C64A4">
      <w:r>
        <w:separator/>
      </w:r>
    </w:p>
  </w:endnote>
  <w:endnote w:type="continuationSeparator" w:id="0">
    <w:p w:rsidR="006C64A4" w:rsidRDefault="006C6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4F714B">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635" b="190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31404C">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4A4" w:rsidRDefault="006C64A4">
      <w:r>
        <w:separator/>
      </w:r>
    </w:p>
  </w:footnote>
  <w:footnote w:type="continuationSeparator" w:id="0">
    <w:p w:rsidR="006C64A4" w:rsidRDefault="006C64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4F714B">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2540" t="1905"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bookmarkStart w:id="1" w:name="_GoBack"/>
                    <w:r w:rsidRPr="004F714B">
                      <w:rPr>
                        <w:rFonts w:ascii="Times New Roman"/>
                        <w:i/>
                        <w:sz w:val="24"/>
                      </w:rPr>
                      <w:t xml:space="preserve">Excerpted from </w:t>
                    </w:r>
                    <w:r w:rsidR="00F610C0" w:rsidRPr="004F714B">
                      <w:rPr>
                        <w:rFonts w:ascii="Times New Roman"/>
                        <w:i/>
                        <w:sz w:val="24"/>
                      </w:rPr>
                      <w:t>Interactive Read Aloud Toolkit</w:t>
                    </w:r>
                    <w:bookmarkEnd w:id="1"/>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31404C">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04C"/>
    <w:rsid w:val="000C08D3"/>
    <w:rsid w:val="00200FAC"/>
    <w:rsid w:val="002C333D"/>
    <w:rsid w:val="0031404C"/>
    <w:rsid w:val="004D5D61"/>
    <w:rsid w:val="004F714B"/>
    <w:rsid w:val="00546463"/>
    <w:rsid w:val="00601BBD"/>
    <w:rsid w:val="006430F9"/>
    <w:rsid w:val="006C64A4"/>
    <w:rsid w:val="006E3ABD"/>
    <w:rsid w:val="007202F6"/>
    <w:rsid w:val="008940A7"/>
    <w:rsid w:val="00931713"/>
    <w:rsid w:val="0094145A"/>
    <w:rsid w:val="00981C60"/>
    <w:rsid w:val="00A96A58"/>
    <w:rsid w:val="00AB6B87"/>
    <w:rsid w:val="00C30CF5"/>
    <w:rsid w:val="00CA27F9"/>
    <w:rsid w:val="00E83827"/>
    <w:rsid w:val="00F610C0"/>
    <w:rsid w:val="00F90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pPr>
      <w:ind w:left="840"/>
      <w:outlineLvl w:val="1"/>
    </w:pPr>
    <w:rPr>
      <w:sz w:val="24"/>
      <w:szCs w:val="24"/>
    </w:rPr>
  </w:style>
  <w:style w:type="paragraph" w:styleId="Heading3">
    <w:name w:val="heading 3"/>
    <w:basedOn w:val="Normal"/>
    <w:uiPriority w:val="1"/>
    <w:qFormat/>
    <w:pPr>
      <w:ind w:left="100"/>
      <w:outlineLvl w:val="2"/>
    </w:pPr>
    <w:rPr>
      <w:b/>
      <w:bCs/>
    </w:rPr>
  </w:style>
  <w:style w:type="paragraph" w:styleId="Heading4">
    <w:name w:val="heading 4"/>
    <w:basedOn w:val="Normal"/>
    <w:uiPriority w:val="1"/>
    <w:qFormat/>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4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character" w:styleId="Hyperlink">
    <w:name w:val="Hyperlink"/>
    <w:basedOn w:val="DefaultParagraphFont"/>
    <w:uiPriority w:val="99"/>
    <w:unhideWhenUsed/>
    <w:rsid w:val="006E3ABD"/>
    <w:rPr>
      <w:color w:val="0000FF" w:themeColor="hyperlink"/>
      <w:u w:val="single"/>
    </w:rPr>
  </w:style>
  <w:style w:type="character" w:styleId="FollowedHyperlink">
    <w:name w:val="FollowedHyperlink"/>
    <w:basedOn w:val="DefaultParagraphFont"/>
    <w:uiPriority w:val="99"/>
    <w:semiHidden/>
    <w:unhideWhenUsed/>
    <w:rsid w:val="002C33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pPr>
      <w:ind w:left="840"/>
      <w:outlineLvl w:val="1"/>
    </w:pPr>
    <w:rPr>
      <w:sz w:val="24"/>
      <w:szCs w:val="24"/>
    </w:rPr>
  </w:style>
  <w:style w:type="paragraph" w:styleId="Heading3">
    <w:name w:val="heading 3"/>
    <w:basedOn w:val="Normal"/>
    <w:uiPriority w:val="1"/>
    <w:qFormat/>
    <w:pPr>
      <w:ind w:left="100"/>
      <w:outlineLvl w:val="2"/>
    </w:pPr>
    <w:rPr>
      <w:b/>
      <w:bCs/>
    </w:rPr>
  </w:style>
  <w:style w:type="paragraph" w:styleId="Heading4">
    <w:name w:val="heading 4"/>
    <w:basedOn w:val="Normal"/>
    <w:uiPriority w:val="1"/>
    <w:qFormat/>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4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character" w:styleId="Hyperlink">
    <w:name w:val="Hyperlink"/>
    <w:basedOn w:val="DefaultParagraphFont"/>
    <w:uiPriority w:val="99"/>
    <w:unhideWhenUsed/>
    <w:rsid w:val="006E3ABD"/>
    <w:rPr>
      <w:color w:val="0000FF" w:themeColor="hyperlink"/>
      <w:u w:val="single"/>
    </w:rPr>
  </w:style>
  <w:style w:type="character" w:styleId="FollowedHyperlink">
    <w:name w:val="FollowedHyperlink"/>
    <w:basedOn w:val="DefaultParagraphFont"/>
    <w:uiPriority w:val="99"/>
    <w:semiHidden/>
    <w:unhideWhenUsed/>
    <w:rsid w:val="002C33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478159">
      <w:bodyDiv w:val="1"/>
      <w:marLeft w:val="0"/>
      <w:marRight w:val="0"/>
      <w:marTop w:val="0"/>
      <w:marBottom w:val="0"/>
      <w:divBdr>
        <w:top w:val="none" w:sz="0" w:space="0" w:color="auto"/>
        <w:left w:val="none" w:sz="0" w:space="0" w:color="auto"/>
        <w:bottom w:val="none" w:sz="0" w:space="0" w:color="auto"/>
        <w:right w:val="none" w:sz="0" w:space="0" w:color="auto"/>
      </w:divBdr>
      <w:divsChild>
        <w:div w:id="1308778318">
          <w:marLeft w:val="0"/>
          <w:marRight w:val="0"/>
          <w:marTop w:val="0"/>
          <w:marBottom w:val="0"/>
          <w:divBdr>
            <w:top w:val="none" w:sz="0" w:space="0" w:color="auto"/>
            <w:left w:val="none" w:sz="0" w:space="0" w:color="auto"/>
            <w:bottom w:val="none" w:sz="0" w:space="0" w:color="auto"/>
            <w:right w:val="none" w:sz="0" w:space="0" w:color="auto"/>
          </w:divBdr>
        </w:div>
        <w:div w:id="1282613784">
          <w:marLeft w:val="0"/>
          <w:marRight w:val="0"/>
          <w:marTop w:val="0"/>
          <w:marBottom w:val="0"/>
          <w:divBdr>
            <w:top w:val="none" w:sz="0" w:space="0" w:color="auto"/>
            <w:left w:val="none" w:sz="0" w:space="0" w:color="auto"/>
            <w:bottom w:val="none" w:sz="0" w:space="0" w:color="auto"/>
            <w:right w:val="none" w:sz="0" w:space="0" w:color="auto"/>
          </w:divBdr>
        </w:div>
        <w:div w:id="202061280">
          <w:marLeft w:val="0"/>
          <w:marRight w:val="0"/>
          <w:marTop w:val="0"/>
          <w:marBottom w:val="0"/>
          <w:divBdr>
            <w:top w:val="none" w:sz="0" w:space="0" w:color="auto"/>
            <w:left w:val="none" w:sz="0" w:space="0" w:color="auto"/>
            <w:bottom w:val="none" w:sz="0" w:space="0" w:color="auto"/>
            <w:right w:val="none" w:sz="0" w:space="0" w:color="auto"/>
          </w:divBdr>
        </w:div>
        <w:div w:id="1520970553">
          <w:marLeft w:val="0"/>
          <w:marRight w:val="0"/>
          <w:marTop w:val="0"/>
          <w:marBottom w:val="0"/>
          <w:divBdr>
            <w:top w:val="none" w:sz="0" w:space="0" w:color="auto"/>
            <w:left w:val="none" w:sz="0" w:space="0" w:color="auto"/>
            <w:bottom w:val="none" w:sz="0" w:space="0" w:color="auto"/>
            <w:right w:val="none" w:sz="0" w:space="0" w:color="auto"/>
          </w:divBdr>
        </w:div>
      </w:divsChild>
    </w:div>
    <w:div w:id="1288973656">
      <w:bodyDiv w:val="1"/>
      <w:marLeft w:val="0"/>
      <w:marRight w:val="0"/>
      <w:marTop w:val="0"/>
      <w:marBottom w:val="0"/>
      <w:divBdr>
        <w:top w:val="none" w:sz="0" w:space="0" w:color="auto"/>
        <w:left w:val="none" w:sz="0" w:space="0" w:color="auto"/>
        <w:bottom w:val="none" w:sz="0" w:space="0" w:color="auto"/>
        <w:right w:val="none" w:sz="0" w:space="0" w:color="auto"/>
      </w:divBdr>
      <w:divsChild>
        <w:div w:id="215363249">
          <w:marLeft w:val="0"/>
          <w:marRight w:val="0"/>
          <w:marTop w:val="0"/>
          <w:marBottom w:val="0"/>
          <w:divBdr>
            <w:top w:val="none" w:sz="0" w:space="0" w:color="auto"/>
            <w:left w:val="none" w:sz="0" w:space="0" w:color="auto"/>
            <w:bottom w:val="none" w:sz="0" w:space="0" w:color="auto"/>
            <w:right w:val="none" w:sz="0" w:space="0" w:color="auto"/>
          </w:divBdr>
        </w:div>
        <w:div w:id="1575313135">
          <w:marLeft w:val="0"/>
          <w:marRight w:val="0"/>
          <w:marTop w:val="0"/>
          <w:marBottom w:val="0"/>
          <w:divBdr>
            <w:top w:val="none" w:sz="0" w:space="0" w:color="auto"/>
            <w:left w:val="none" w:sz="0" w:space="0" w:color="auto"/>
            <w:bottom w:val="none" w:sz="0" w:space="0" w:color="auto"/>
            <w:right w:val="none" w:sz="0" w:space="0" w:color="auto"/>
          </w:divBdr>
        </w:div>
        <w:div w:id="425348476">
          <w:marLeft w:val="0"/>
          <w:marRight w:val="0"/>
          <w:marTop w:val="0"/>
          <w:marBottom w:val="0"/>
          <w:divBdr>
            <w:top w:val="none" w:sz="0" w:space="0" w:color="auto"/>
            <w:left w:val="none" w:sz="0" w:space="0" w:color="auto"/>
            <w:bottom w:val="none" w:sz="0" w:space="0" w:color="auto"/>
            <w:right w:val="none" w:sz="0" w:space="0" w:color="auto"/>
          </w:divBdr>
        </w:div>
        <w:div w:id="583228456">
          <w:marLeft w:val="0"/>
          <w:marRight w:val="0"/>
          <w:marTop w:val="0"/>
          <w:marBottom w:val="0"/>
          <w:divBdr>
            <w:top w:val="none" w:sz="0" w:space="0" w:color="auto"/>
            <w:left w:val="none" w:sz="0" w:space="0" w:color="auto"/>
            <w:bottom w:val="none" w:sz="0" w:space="0" w:color="auto"/>
            <w:right w:val="none" w:sz="0" w:space="0" w:color="auto"/>
          </w:divBdr>
        </w:div>
        <w:div w:id="155266150">
          <w:marLeft w:val="0"/>
          <w:marRight w:val="0"/>
          <w:marTop w:val="0"/>
          <w:marBottom w:val="0"/>
          <w:divBdr>
            <w:top w:val="none" w:sz="0" w:space="0" w:color="auto"/>
            <w:left w:val="none" w:sz="0" w:space="0" w:color="auto"/>
            <w:bottom w:val="none" w:sz="0" w:space="0" w:color="auto"/>
            <w:right w:val="none" w:sz="0" w:space="0" w:color="auto"/>
          </w:divBdr>
        </w:div>
        <w:div w:id="1782452456">
          <w:marLeft w:val="0"/>
          <w:marRight w:val="0"/>
          <w:marTop w:val="0"/>
          <w:marBottom w:val="0"/>
          <w:divBdr>
            <w:top w:val="none" w:sz="0" w:space="0" w:color="auto"/>
            <w:left w:val="none" w:sz="0" w:space="0" w:color="auto"/>
            <w:bottom w:val="none" w:sz="0" w:space="0" w:color="auto"/>
            <w:right w:val="none" w:sz="0" w:space="0" w:color="auto"/>
          </w:divBdr>
        </w:div>
        <w:div w:id="340737361">
          <w:marLeft w:val="0"/>
          <w:marRight w:val="0"/>
          <w:marTop w:val="0"/>
          <w:marBottom w:val="0"/>
          <w:divBdr>
            <w:top w:val="none" w:sz="0" w:space="0" w:color="auto"/>
            <w:left w:val="none" w:sz="0" w:space="0" w:color="auto"/>
            <w:bottom w:val="none" w:sz="0" w:space="0" w:color="auto"/>
            <w:right w:val="none" w:sz="0" w:space="0" w:color="auto"/>
          </w:divBdr>
        </w:div>
        <w:div w:id="1708989565">
          <w:marLeft w:val="0"/>
          <w:marRight w:val="0"/>
          <w:marTop w:val="0"/>
          <w:marBottom w:val="0"/>
          <w:divBdr>
            <w:top w:val="none" w:sz="0" w:space="0" w:color="auto"/>
            <w:left w:val="none" w:sz="0" w:space="0" w:color="auto"/>
            <w:bottom w:val="none" w:sz="0" w:space="0" w:color="auto"/>
            <w:right w:val="none" w:sz="0" w:space="0" w:color="auto"/>
          </w:divBdr>
        </w:div>
        <w:div w:id="165175090">
          <w:marLeft w:val="0"/>
          <w:marRight w:val="0"/>
          <w:marTop w:val="0"/>
          <w:marBottom w:val="0"/>
          <w:divBdr>
            <w:top w:val="none" w:sz="0" w:space="0" w:color="auto"/>
            <w:left w:val="none" w:sz="0" w:space="0" w:color="auto"/>
            <w:bottom w:val="none" w:sz="0" w:space="0" w:color="auto"/>
            <w:right w:val="none" w:sz="0" w:space="0" w:color="auto"/>
          </w:divBdr>
        </w:div>
        <w:div w:id="319964619">
          <w:marLeft w:val="0"/>
          <w:marRight w:val="0"/>
          <w:marTop w:val="0"/>
          <w:marBottom w:val="0"/>
          <w:divBdr>
            <w:top w:val="none" w:sz="0" w:space="0" w:color="auto"/>
            <w:left w:val="none" w:sz="0" w:space="0" w:color="auto"/>
            <w:bottom w:val="none" w:sz="0" w:space="0" w:color="auto"/>
            <w:right w:val="none" w:sz="0" w:space="0" w:color="auto"/>
          </w:divBdr>
        </w:div>
        <w:div w:id="330988052">
          <w:marLeft w:val="0"/>
          <w:marRight w:val="0"/>
          <w:marTop w:val="0"/>
          <w:marBottom w:val="0"/>
          <w:divBdr>
            <w:top w:val="none" w:sz="0" w:space="0" w:color="auto"/>
            <w:left w:val="none" w:sz="0" w:space="0" w:color="auto"/>
            <w:bottom w:val="none" w:sz="0" w:space="0" w:color="auto"/>
            <w:right w:val="none" w:sz="0" w:space="0" w:color="auto"/>
          </w:divBdr>
        </w:div>
        <w:div w:id="1977834985">
          <w:marLeft w:val="0"/>
          <w:marRight w:val="0"/>
          <w:marTop w:val="0"/>
          <w:marBottom w:val="0"/>
          <w:divBdr>
            <w:top w:val="none" w:sz="0" w:space="0" w:color="auto"/>
            <w:left w:val="none" w:sz="0" w:space="0" w:color="auto"/>
            <w:bottom w:val="none" w:sz="0" w:space="0" w:color="auto"/>
            <w:right w:val="none" w:sz="0" w:space="0" w:color="auto"/>
          </w:divBdr>
        </w:div>
        <w:div w:id="1424765217">
          <w:marLeft w:val="0"/>
          <w:marRight w:val="0"/>
          <w:marTop w:val="0"/>
          <w:marBottom w:val="0"/>
          <w:divBdr>
            <w:top w:val="none" w:sz="0" w:space="0" w:color="auto"/>
            <w:left w:val="none" w:sz="0" w:space="0" w:color="auto"/>
            <w:bottom w:val="none" w:sz="0" w:space="0" w:color="auto"/>
            <w:right w:val="none" w:sz="0" w:space="0" w:color="auto"/>
          </w:divBdr>
        </w:div>
        <w:div w:id="1524318143">
          <w:marLeft w:val="0"/>
          <w:marRight w:val="0"/>
          <w:marTop w:val="0"/>
          <w:marBottom w:val="0"/>
          <w:divBdr>
            <w:top w:val="none" w:sz="0" w:space="0" w:color="auto"/>
            <w:left w:val="none" w:sz="0" w:space="0" w:color="auto"/>
            <w:bottom w:val="none" w:sz="0" w:space="0" w:color="auto"/>
            <w:right w:val="none" w:sz="0" w:space="0" w:color="auto"/>
          </w:divBdr>
        </w:div>
        <w:div w:id="583303063">
          <w:marLeft w:val="0"/>
          <w:marRight w:val="0"/>
          <w:marTop w:val="0"/>
          <w:marBottom w:val="0"/>
          <w:divBdr>
            <w:top w:val="none" w:sz="0" w:space="0" w:color="auto"/>
            <w:left w:val="none" w:sz="0" w:space="0" w:color="auto"/>
            <w:bottom w:val="none" w:sz="0" w:space="0" w:color="auto"/>
            <w:right w:val="none" w:sz="0" w:space="0" w:color="auto"/>
          </w:divBdr>
        </w:div>
        <w:div w:id="27462396">
          <w:marLeft w:val="0"/>
          <w:marRight w:val="0"/>
          <w:marTop w:val="0"/>
          <w:marBottom w:val="0"/>
          <w:divBdr>
            <w:top w:val="none" w:sz="0" w:space="0" w:color="auto"/>
            <w:left w:val="none" w:sz="0" w:space="0" w:color="auto"/>
            <w:bottom w:val="none" w:sz="0" w:space="0" w:color="auto"/>
            <w:right w:val="none" w:sz="0" w:space="0" w:color="auto"/>
          </w:divBdr>
        </w:div>
        <w:div w:id="1733889483">
          <w:marLeft w:val="0"/>
          <w:marRight w:val="0"/>
          <w:marTop w:val="0"/>
          <w:marBottom w:val="0"/>
          <w:divBdr>
            <w:top w:val="none" w:sz="0" w:space="0" w:color="auto"/>
            <w:left w:val="none" w:sz="0" w:space="0" w:color="auto"/>
            <w:bottom w:val="none" w:sz="0" w:space="0" w:color="auto"/>
            <w:right w:val="none" w:sz="0" w:space="0" w:color="auto"/>
          </w:divBdr>
        </w:div>
        <w:div w:id="840895958">
          <w:marLeft w:val="0"/>
          <w:marRight w:val="0"/>
          <w:marTop w:val="0"/>
          <w:marBottom w:val="0"/>
          <w:divBdr>
            <w:top w:val="none" w:sz="0" w:space="0" w:color="auto"/>
            <w:left w:val="none" w:sz="0" w:space="0" w:color="auto"/>
            <w:bottom w:val="none" w:sz="0" w:space="0" w:color="auto"/>
            <w:right w:val="none" w:sz="0" w:space="0" w:color="auto"/>
          </w:divBdr>
        </w:div>
      </w:divsChild>
    </w:div>
    <w:div w:id="1432701132">
      <w:bodyDiv w:val="1"/>
      <w:marLeft w:val="0"/>
      <w:marRight w:val="0"/>
      <w:marTop w:val="0"/>
      <w:marBottom w:val="0"/>
      <w:divBdr>
        <w:top w:val="none" w:sz="0" w:space="0" w:color="auto"/>
        <w:left w:val="none" w:sz="0" w:space="0" w:color="auto"/>
        <w:bottom w:val="none" w:sz="0" w:space="0" w:color="auto"/>
        <w:right w:val="none" w:sz="0" w:space="0" w:color="auto"/>
      </w:divBdr>
      <w:divsChild>
        <w:div w:id="474300458">
          <w:marLeft w:val="0"/>
          <w:marRight w:val="0"/>
          <w:marTop w:val="0"/>
          <w:marBottom w:val="0"/>
          <w:divBdr>
            <w:top w:val="none" w:sz="0" w:space="0" w:color="auto"/>
            <w:left w:val="none" w:sz="0" w:space="0" w:color="auto"/>
            <w:bottom w:val="none" w:sz="0" w:space="0" w:color="auto"/>
            <w:right w:val="none" w:sz="0" w:space="0" w:color="auto"/>
          </w:divBdr>
        </w:div>
        <w:div w:id="623465231">
          <w:marLeft w:val="0"/>
          <w:marRight w:val="0"/>
          <w:marTop w:val="0"/>
          <w:marBottom w:val="0"/>
          <w:divBdr>
            <w:top w:val="none" w:sz="0" w:space="0" w:color="auto"/>
            <w:left w:val="none" w:sz="0" w:space="0" w:color="auto"/>
            <w:bottom w:val="none" w:sz="0" w:space="0" w:color="auto"/>
            <w:right w:val="none" w:sz="0" w:space="0" w:color="auto"/>
          </w:divBdr>
        </w:div>
        <w:div w:id="118888496">
          <w:marLeft w:val="0"/>
          <w:marRight w:val="0"/>
          <w:marTop w:val="0"/>
          <w:marBottom w:val="0"/>
          <w:divBdr>
            <w:top w:val="none" w:sz="0" w:space="0" w:color="auto"/>
            <w:left w:val="none" w:sz="0" w:space="0" w:color="auto"/>
            <w:bottom w:val="none" w:sz="0" w:space="0" w:color="auto"/>
            <w:right w:val="none" w:sz="0" w:space="0" w:color="auto"/>
          </w:divBdr>
        </w:div>
        <w:div w:id="138617949">
          <w:marLeft w:val="0"/>
          <w:marRight w:val="0"/>
          <w:marTop w:val="0"/>
          <w:marBottom w:val="0"/>
          <w:divBdr>
            <w:top w:val="none" w:sz="0" w:space="0" w:color="auto"/>
            <w:left w:val="none" w:sz="0" w:space="0" w:color="auto"/>
            <w:bottom w:val="none" w:sz="0" w:space="0" w:color="auto"/>
            <w:right w:val="none" w:sz="0" w:space="0" w:color="auto"/>
          </w:divBdr>
        </w:div>
        <w:div w:id="126627239">
          <w:marLeft w:val="0"/>
          <w:marRight w:val="0"/>
          <w:marTop w:val="0"/>
          <w:marBottom w:val="0"/>
          <w:divBdr>
            <w:top w:val="none" w:sz="0" w:space="0" w:color="auto"/>
            <w:left w:val="none" w:sz="0" w:space="0" w:color="auto"/>
            <w:bottom w:val="none" w:sz="0" w:space="0" w:color="auto"/>
            <w:right w:val="none" w:sz="0" w:space="0" w:color="auto"/>
          </w:divBdr>
        </w:div>
        <w:div w:id="103547800">
          <w:marLeft w:val="0"/>
          <w:marRight w:val="0"/>
          <w:marTop w:val="0"/>
          <w:marBottom w:val="0"/>
          <w:divBdr>
            <w:top w:val="none" w:sz="0" w:space="0" w:color="auto"/>
            <w:left w:val="none" w:sz="0" w:space="0" w:color="auto"/>
            <w:bottom w:val="none" w:sz="0" w:space="0" w:color="auto"/>
            <w:right w:val="none" w:sz="0" w:space="0" w:color="auto"/>
          </w:divBdr>
        </w:div>
      </w:divsChild>
    </w:div>
    <w:div w:id="2007978308">
      <w:bodyDiv w:val="1"/>
      <w:marLeft w:val="0"/>
      <w:marRight w:val="0"/>
      <w:marTop w:val="0"/>
      <w:marBottom w:val="0"/>
      <w:divBdr>
        <w:top w:val="none" w:sz="0" w:space="0" w:color="auto"/>
        <w:left w:val="none" w:sz="0" w:space="0" w:color="auto"/>
        <w:bottom w:val="none" w:sz="0" w:space="0" w:color="auto"/>
        <w:right w:val="none" w:sz="0" w:space="0" w:color="auto"/>
      </w:divBdr>
      <w:divsChild>
        <w:div w:id="250630622">
          <w:marLeft w:val="0"/>
          <w:marRight w:val="0"/>
          <w:marTop w:val="0"/>
          <w:marBottom w:val="0"/>
          <w:divBdr>
            <w:top w:val="none" w:sz="0" w:space="0" w:color="auto"/>
            <w:left w:val="none" w:sz="0" w:space="0" w:color="auto"/>
            <w:bottom w:val="none" w:sz="0" w:space="0" w:color="auto"/>
            <w:right w:val="none" w:sz="0" w:space="0" w:color="auto"/>
          </w:divBdr>
        </w:div>
        <w:div w:id="1322469302">
          <w:marLeft w:val="0"/>
          <w:marRight w:val="0"/>
          <w:marTop w:val="0"/>
          <w:marBottom w:val="0"/>
          <w:divBdr>
            <w:top w:val="none" w:sz="0" w:space="0" w:color="auto"/>
            <w:left w:val="none" w:sz="0" w:space="0" w:color="auto"/>
            <w:bottom w:val="none" w:sz="0" w:space="0" w:color="auto"/>
            <w:right w:val="none" w:sz="0" w:space="0" w:color="auto"/>
          </w:divBdr>
        </w:div>
        <w:div w:id="838540897">
          <w:marLeft w:val="0"/>
          <w:marRight w:val="0"/>
          <w:marTop w:val="0"/>
          <w:marBottom w:val="0"/>
          <w:divBdr>
            <w:top w:val="none" w:sz="0" w:space="0" w:color="auto"/>
            <w:left w:val="none" w:sz="0" w:space="0" w:color="auto"/>
            <w:bottom w:val="none" w:sz="0" w:space="0" w:color="auto"/>
            <w:right w:val="none" w:sz="0" w:space="0" w:color="auto"/>
          </w:divBdr>
        </w:div>
        <w:div w:id="1407794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exile.com/fab/" TargetMode="External"/><Relationship Id="rId13" Type="http://schemas.openxmlformats.org/officeDocument/2006/relationships/header" Target="header3.xml"/><Relationship Id="rId18" Type="http://schemas.openxmlformats.org/officeDocument/2006/relationships/hyperlink" Target="http://www.popsci.com/nih-director-says-hell-no-editing-human-embryos"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learn.genetics.utah.edu/content/cloning/clickandclon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newsela.com/text-sets/202391/marcumoverviewgeneediting"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oneidamiddle.tn.odm.schoolinsites.com/?PageName=TeacherPage&amp;Page=3&amp;StaffID=149240&amp;iSection=Teachers&amp;CorrespondingID=149240" TargetMode="External"/><Relationship Id="rId20" Type="http://schemas.openxmlformats.org/officeDocument/2006/relationships/hyperlink" Target="https://www.genome.gov/2502002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ccsso.org/" TargetMode="External"/><Relationship Id="rId23" Type="http://schemas.openxmlformats.org/officeDocument/2006/relationships/hyperlink" Target="https://en.wikipedia.org/wiki/List_of_genetic_disorders" TargetMode="External"/><Relationship Id="rId10" Type="http://schemas.openxmlformats.org/officeDocument/2006/relationships/header" Target="header2.xml"/><Relationship Id="rId19" Type="http://schemas.openxmlformats.org/officeDocument/2006/relationships/hyperlink" Target="http://www.pbs.org/wgbh/harvest/engineer/transgen.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tnlearn.pbslearningmedia.org/resource/tdc02.sci.life.gen.lp_hgpethics/ethical-issues-in-the-human-genome-projec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1455</TotalTime>
  <Pages>5</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OSSD</cp:lastModifiedBy>
  <cp:revision>15</cp:revision>
  <dcterms:created xsi:type="dcterms:W3CDTF">2017-04-23T13:19:00Z</dcterms:created>
  <dcterms:modified xsi:type="dcterms:W3CDTF">2017-05-28T13:03:00Z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