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w:t>
      </w:r>
      <w:r>
        <w:rPr>
          <w:sz w:val="20"/>
        </w:rPr>
        <w:t>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 xml:space="preserve">The </w:t>
      </w:r>
      <w:r>
        <w:rPr>
          <w:sz w:val="20"/>
        </w:rPr>
        <w:t xml:space="preserve">number of texts in a set can vary depending on purpose and resource availability. What is important is that the texts in the set are connected meaningfully to each other, build knowledge and vocabulary of a specific topic, and that themes and concepts are </w:t>
      </w:r>
      <w:r>
        <w:rPr>
          <w:sz w:val="20"/>
        </w:rPr>
        <w:t>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F610C0">
            <w:pPr>
              <w:pStyle w:val="TableParagraph"/>
              <w:ind w:left="100" w:right="116"/>
              <w:rPr>
                <w:sz w:val="20"/>
              </w:rPr>
            </w:pPr>
            <w:r>
              <w:rPr>
                <w:sz w:val="20"/>
              </w:rPr>
              <w:t>The first step is to identify an anchor text and formulate an overall line of inquiry for the set. This can happen in either order. An educator may first identify an anchor text, from which they formulate a line of inquiry for the set OR an educator may ch</w:t>
            </w:r>
            <w:r>
              <w:rPr>
                <w:sz w:val="20"/>
              </w:rPr>
              <w:t>oose to first identify a topic for a unit of study and then seek out an anchor text around which to build the set. The most important part of this step is that the anchor text be a grade-level complex text that meets the complexity demands of the Standards</w:t>
            </w:r>
            <w:r>
              <w:rPr>
                <w:sz w:val="20"/>
              </w:rPr>
              <w:t xml:space="preserve"> and is worthy of the time and attention of students. Without a rich anchor text, it is impossible to create a worthwhile text set.</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31404C" w:rsidRDefault="00F610C0">
            <w:pPr>
              <w:pStyle w:val="TableParagraph"/>
              <w:ind w:left="100"/>
              <w:rPr>
                <w:sz w:val="20"/>
              </w:rPr>
            </w:pPr>
            <w:r>
              <w:rPr>
                <w:sz w:val="20"/>
              </w:rPr>
              <w:t>Once you have identified the anchor text and line of inquiry for your set, you can use a variety of databases to search for texts. Sometimes you will need to adjust your search terms to find a range of texts on a topic. Several databases allow you to organ</w:t>
            </w:r>
            <w:r>
              <w:rPr>
                <w:sz w:val="20"/>
              </w:rPr>
              <w:t>ize texts according to quantitative measure (</w:t>
            </w:r>
            <w:hyperlink r:id="rId7">
              <w:r>
                <w:rPr>
                  <w:color w:val="0462C1"/>
                  <w:sz w:val="20"/>
                  <w:u w:val="single" w:color="0462C1"/>
                </w:rPr>
                <w:t>http://www.lexile.com/fab/</w:t>
              </w:r>
            </w:hyperlink>
            <w:r>
              <w:rPr>
                <w:sz w:val="20"/>
              </w:rPr>
              <w:t>).</w:t>
            </w: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r>
              <w:rPr>
                <w:sz w:val="20"/>
              </w:rPr>
              <w:t>new</w:t>
            </w:r>
            <w:r>
              <w:rPr>
                <w:spacing w:val="-5"/>
                <w:sz w:val="20"/>
              </w:rPr>
              <w:t xml:space="preserve"> </w:t>
            </w:r>
            <w:r>
              <w:rPr>
                <w:sz w:val="20"/>
              </w:rPr>
              <w:t>information</w:t>
            </w:r>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p>
        </w:tc>
      </w:tr>
    </w:tbl>
    <w:p w:rsidR="0031404C" w:rsidRDefault="0031404C">
      <w:pPr>
        <w:spacing w:line="228" w:lineRule="exact"/>
        <w:rPr>
          <w:sz w:val="20"/>
        </w:rPr>
        <w:sectPr w:rsidR="0031404C">
          <w:headerReference w:type="even" r:id="rId8"/>
          <w:headerReference w:type="default" r:id="rId9"/>
          <w:footerReference w:type="even" r:id="rId10"/>
          <w:footerReference w:type="default" r:id="rId11"/>
          <w:headerReference w:type="first" r:id="rId12"/>
          <w:footerReference w:type="first" r:id="rId13"/>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 xml:space="preserve">Continue to refine your selections until you are satisfied that you have a range and balance of texts that support student engagement with the line of inquiry. Then, finalize your selections and document the text set for use in your instructional unit and </w:t>
            </w:r>
            <w:r>
              <w:rPr>
                <w:sz w:val="20"/>
              </w:rPr>
              <w:t>to share with other educators. In documenting your set, we recommend including the title, author, quantitative measure, source, text type, and brief summary/justification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List borrowed and modified from three sources:</w:t>
      </w:r>
      <w:r>
        <w:rPr>
          <w:sz w:val="18"/>
        </w:rPr>
        <w:t xml:space="preserve"> </w:t>
      </w:r>
      <w:r>
        <w:rPr>
          <w:i/>
          <w:sz w:val="18"/>
        </w:rPr>
        <w:t xml:space="preserve">Guide to Creating Text Sets, </w:t>
      </w:r>
      <w:r>
        <w:rPr>
          <w:sz w:val="18"/>
        </w:rPr>
        <w:t>retrieved from</w:t>
      </w:r>
      <w:r>
        <w:rPr>
          <w:color w:val="0462C1"/>
          <w:sz w:val="18"/>
        </w:rPr>
        <w:t xml:space="preserve"> </w:t>
      </w:r>
      <w:hyperlink r:id="rId14">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Informatio</w:t>
      </w:r>
      <w:r>
        <w:rPr>
          <w:i/>
          <w:sz w:val="18"/>
        </w:rPr>
        <w:t xml:space="preserve">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pPr>
        <w:pStyle w:val="Heading1"/>
      </w:pPr>
      <w:r>
        <w:lastRenderedPageBreak/>
        <w:t>Blank Text Set</w:t>
      </w:r>
    </w:p>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Default="0031404C">
            <w:pPr>
              <w:pStyle w:val="TableParagraph"/>
              <w:rPr>
                <w:rFonts w:ascii="Times New Roman"/>
                <w:sz w:val="20"/>
              </w:rPr>
            </w:pP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Default="00F610C0">
            <w:pPr>
              <w:pStyle w:val="TableParagraph"/>
              <w:spacing w:line="236" w:lineRule="exact"/>
              <w:ind w:left="100"/>
              <w:rPr>
                <w:b/>
                <w:sz w:val="21"/>
              </w:rPr>
            </w:pPr>
            <w:r>
              <w:rPr>
                <w:b/>
                <w:sz w:val="21"/>
              </w:rPr>
              <w:t>Title:</w:t>
            </w:r>
          </w:p>
          <w:p w:rsidR="0031404C" w:rsidRDefault="00F610C0">
            <w:pPr>
              <w:pStyle w:val="TableParagraph"/>
              <w:spacing w:before="1" w:line="227" w:lineRule="exact"/>
              <w:ind w:left="100"/>
              <w:rPr>
                <w:b/>
                <w:sz w:val="21"/>
              </w:rPr>
            </w:pPr>
            <w:r>
              <w:rPr>
                <w:b/>
                <w:sz w:val="21"/>
              </w:rPr>
              <w:t>Author:</w:t>
            </w:r>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Default="00F610C0">
            <w:pPr>
              <w:pStyle w:val="TableParagraph"/>
              <w:spacing w:line="241" w:lineRule="exact"/>
              <w:ind w:left="82" w:right="6256"/>
              <w:jc w:val="center"/>
              <w:rPr>
                <w:sz w:val="21"/>
              </w:rPr>
            </w:pPr>
            <w:r>
              <w:rPr>
                <w:sz w:val="21"/>
              </w:rPr>
              <w:t>1.</w:t>
            </w:r>
          </w:p>
          <w:p w:rsidR="0031404C" w:rsidRDefault="00F610C0">
            <w:pPr>
              <w:pStyle w:val="TableParagraph"/>
              <w:spacing w:before="1"/>
              <w:ind w:left="82" w:right="6256"/>
              <w:jc w:val="center"/>
              <w:rPr>
                <w:sz w:val="21"/>
              </w:rPr>
            </w:pPr>
            <w:r>
              <w:rPr>
                <w:sz w:val="21"/>
              </w:rPr>
              <w:t>2.</w:t>
            </w:r>
          </w:p>
          <w:p w:rsidR="0031404C" w:rsidRDefault="00F610C0">
            <w:pPr>
              <w:pStyle w:val="TableParagraph"/>
              <w:spacing w:before="1" w:line="241" w:lineRule="exact"/>
              <w:ind w:left="82" w:right="6243"/>
              <w:jc w:val="center"/>
              <w:rPr>
                <w:b/>
                <w:sz w:val="21"/>
              </w:rPr>
            </w:pPr>
            <w:r>
              <w:rPr>
                <w:b/>
                <w:sz w:val="21"/>
              </w:rPr>
              <w:t>Article(s)</w:t>
            </w:r>
          </w:p>
          <w:p w:rsidR="0031404C" w:rsidRDefault="00F610C0">
            <w:pPr>
              <w:pStyle w:val="TableParagraph"/>
              <w:spacing w:line="241" w:lineRule="exact"/>
              <w:ind w:left="82" w:right="6256"/>
              <w:jc w:val="center"/>
              <w:rPr>
                <w:sz w:val="21"/>
              </w:rPr>
            </w:pPr>
            <w:r>
              <w:rPr>
                <w:sz w:val="21"/>
              </w:rPr>
              <w:t>3.</w:t>
            </w:r>
          </w:p>
          <w:p w:rsidR="0031404C" w:rsidRDefault="00F610C0">
            <w:pPr>
              <w:pStyle w:val="TableParagraph"/>
              <w:spacing w:before="1" w:line="241" w:lineRule="exact"/>
              <w:ind w:left="82" w:right="6256"/>
              <w:jc w:val="center"/>
              <w:rPr>
                <w:sz w:val="21"/>
              </w:rPr>
            </w:pPr>
            <w:r>
              <w:rPr>
                <w:sz w:val="21"/>
              </w:rPr>
              <w:t>4.</w:t>
            </w:r>
          </w:p>
          <w:p w:rsidR="0031404C" w:rsidRDefault="00F610C0">
            <w:pPr>
              <w:pStyle w:val="TableParagraph"/>
              <w:spacing w:line="241" w:lineRule="exact"/>
              <w:ind w:left="82" w:right="6323"/>
              <w:jc w:val="center"/>
              <w:rPr>
                <w:b/>
                <w:sz w:val="21"/>
              </w:rPr>
            </w:pPr>
            <w:r>
              <w:rPr>
                <w:b/>
                <w:sz w:val="21"/>
              </w:rPr>
              <w:t>Poem(s)</w:t>
            </w:r>
          </w:p>
          <w:p w:rsidR="0031404C" w:rsidRDefault="00F610C0">
            <w:pPr>
              <w:pStyle w:val="TableParagraph"/>
              <w:spacing w:before="1"/>
              <w:ind w:left="82" w:right="6256"/>
              <w:jc w:val="center"/>
              <w:rPr>
                <w:sz w:val="21"/>
              </w:rPr>
            </w:pPr>
            <w:r>
              <w:rPr>
                <w:sz w:val="21"/>
              </w:rPr>
              <w:t>1.</w:t>
            </w:r>
          </w:p>
          <w:p w:rsidR="0031404C" w:rsidRDefault="00F610C0">
            <w:pPr>
              <w:pStyle w:val="TableParagraph"/>
              <w:spacing w:line="241" w:lineRule="exact"/>
              <w:ind w:left="82" w:right="6256"/>
              <w:jc w:val="center"/>
              <w:rPr>
                <w:sz w:val="21"/>
              </w:rPr>
            </w:pPr>
            <w:r>
              <w:rPr>
                <w:sz w:val="21"/>
              </w:rPr>
              <w:t>2.</w:t>
            </w:r>
          </w:p>
          <w:p w:rsidR="0031404C" w:rsidRDefault="00F610C0">
            <w:pPr>
              <w:pStyle w:val="TableParagraph"/>
              <w:spacing w:line="241" w:lineRule="exact"/>
              <w:ind w:left="100"/>
              <w:rPr>
                <w:b/>
                <w:sz w:val="21"/>
              </w:rPr>
            </w:pPr>
            <w:r>
              <w:rPr>
                <w:b/>
                <w:sz w:val="21"/>
              </w:rPr>
              <w:t>Infographic(s)</w:t>
            </w:r>
          </w:p>
          <w:p w:rsidR="0031404C" w:rsidRDefault="00F610C0">
            <w:pPr>
              <w:pStyle w:val="TableParagraph"/>
              <w:spacing w:before="1"/>
              <w:ind w:left="82" w:right="6256"/>
              <w:jc w:val="center"/>
              <w:rPr>
                <w:sz w:val="21"/>
              </w:rPr>
            </w:pPr>
            <w:r>
              <w:rPr>
                <w:sz w:val="21"/>
              </w:rPr>
              <w:t>3.</w:t>
            </w:r>
          </w:p>
          <w:p w:rsidR="0031404C" w:rsidRDefault="00F610C0">
            <w:pPr>
              <w:pStyle w:val="TableParagraph"/>
              <w:spacing w:line="241" w:lineRule="exact"/>
              <w:ind w:left="82" w:right="6256"/>
              <w:jc w:val="center"/>
              <w:rPr>
                <w:sz w:val="21"/>
              </w:rPr>
            </w:pPr>
            <w:r>
              <w:rPr>
                <w:sz w:val="21"/>
              </w:rPr>
              <w:t>4.</w:t>
            </w:r>
          </w:p>
          <w:p w:rsidR="0031404C" w:rsidRDefault="00F610C0">
            <w:pPr>
              <w:pStyle w:val="TableParagraph"/>
              <w:spacing w:line="241" w:lineRule="exact"/>
              <w:ind w:left="100"/>
              <w:rPr>
                <w:b/>
                <w:sz w:val="21"/>
              </w:rPr>
            </w:pPr>
            <w:r>
              <w:rPr>
                <w:b/>
                <w:sz w:val="21"/>
              </w:rPr>
              <w:t>Other Media</w:t>
            </w:r>
          </w:p>
          <w:p w:rsidR="0031404C" w:rsidRDefault="00F610C0">
            <w:pPr>
              <w:pStyle w:val="TableParagraph"/>
              <w:spacing w:before="1" w:line="241" w:lineRule="exact"/>
              <w:ind w:left="82" w:right="6256"/>
              <w:jc w:val="center"/>
              <w:rPr>
                <w:sz w:val="21"/>
              </w:rPr>
            </w:pPr>
            <w:r>
              <w:rPr>
                <w:sz w:val="21"/>
              </w:rPr>
              <w:t>5.</w:t>
            </w:r>
          </w:p>
          <w:p w:rsidR="0031404C" w:rsidRDefault="00F610C0">
            <w:pPr>
              <w:pStyle w:val="TableParagraph"/>
              <w:spacing w:line="241" w:lineRule="exact"/>
              <w:ind w:left="82" w:right="6256"/>
              <w:jc w:val="center"/>
              <w:rPr>
                <w:sz w:val="21"/>
              </w:rPr>
            </w:pPr>
            <w:r>
              <w:rPr>
                <w:sz w:val="21"/>
              </w:rPr>
              <w:t>6.</w:t>
            </w:r>
          </w:p>
          <w:p w:rsidR="0031404C" w:rsidRDefault="0031404C">
            <w:pPr>
              <w:pStyle w:val="TableParagraph"/>
              <w:spacing w:before="5"/>
              <w:rPr>
                <w:rFonts w:ascii="Georgia"/>
                <w:b/>
                <w:sz w:val="21"/>
              </w:rPr>
            </w:pPr>
          </w:p>
          <w:p w:rsidR="0031404C" w:rsidRDefault="00F610C0">
            <w:pPr>
              <w:pStyle w:val="TableParagraph"/>
              <w:ind w:left="100"/>
              <w:rPr>
                <w:b/>
                <w:sz w:val="21"/>
              </w:rPr>
            </w:pPr>
            <w:r>
              <w:rPr>
                <w:b/>
                <w:sz w:val="21"/>
              </w:rPr>
              <w:t>Supporting Works will be introduced/taught in the following order:</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31404C" w:rsidRDefault="0031404C">
            <w:pPr>
              <w:pStyle w:val="TableParagraph"/>
              <w:rPr>
                <w:rFonts w:ascii="Times New Roman"/>
                <w:sz w:val="20"/>
              </w:rPr>
            </w:pP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2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31404C">
            <w:pPr>
              <w:pStyle w:val="TableParagraph"/>
              <w:rPr>
                <w:rFonts w:ascii="Times New Roman"/>
                <w:sz w:val="20"/>
              </w:rPr>
            </w:pPr>
          </w:p>
        </w:tc>
      </w:tr>
    </w:tbl>
    <w:p w:rsidR="0031404C" w:rsidRDefault="0031404C" w:rsidP="007202F6">
      <w:pPr>
        <w:spacing w:before="4"/>
        <w:rPr>
          <w:rFonts w:ascii="Times New Roman"/>
          <w:sz w:val="10"/>
        </w:rPr>
      </w:pPr>
    </w:p>
    <w:sectPr w:rsidR="0031404C" w:rsidSect="007202F6">
      <w:headerReference w:type="default" r:id="rId15"/>
      <w:footerReference w:type="default" r:id="rId16"/>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0C0" w:rsidRDefault="00F610C0">
      <w:r>
        <w:separator/>
      </w:r>
    </w:p>
  </w:endnote>
  <w:endnote w:type="continuationSeparator" w:id="0">
    <w:p w:rsidR="00F610C0" w:rsidRDefault="00F6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4B" w:rsidRDefault="004F71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4C" w:rsidRDefault="004F714B">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635" b="190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Tennessee Department of Education, Read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4B" w:rsidRDefault="004F71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4C" w:rsidRDefault="0031404C">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0C0" w:rsidRDefault="00F610C0">
      <w:r>
        <w:separator/>
      </w:r>
    </w:p>
  </w:footnote>
  <w:footnote w:type="continuationSeparator" w:id="0">
    <w:p w:rsidR="00F610C0" w:rsidRDefault="00F610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4B" w:rsidRDefault="004F71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4C" w:rsidRDefault="004F714B">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2540" t="1905"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bookmarkStart w:id="0" w:name="_GoBack"/>
                          <w:r w:rsidRPr="004F714B">
                            <w:rPr>
                              <w:rFonts w:ascii="Times New Roman"/>
                              <w:i/>
                              <w:sz w:val="24"/>
                            </w:rPr>
                            <w:t xml:space="preserve">Excerpted from </w:t>
                          </w:r>
                          <w:r w:rsidR="00F610C0" w:rsidRPr="004F714B">
                            <w:rPr>
                              <w:rFonts w:ascii="Times New Roman"/>
                              <w:i/>
                              <w:sz w:val="24"/>
                            </w:rPr>
                            <w:t>Interactive Read Aloud Toolkit</w:t>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bookmarkStart w:id="1" w:name="_GoBack"/>
                    <w:r w:rsidRPr="004F714B">
                      <w:rPr>
                        <w:rFonts w:ascii="Times New Roman"/>
                        <w:i/>
                        <w:sz w:val="24"/>
                      </w:rPr>
                      <w:t xml:space="preserve">Excerpted from </w:t>
                    </w:r>
                    <w:r w:rsidR="00F610C0" w:rsidRPr="004F714B">
                      <w:rPr>
                        <w:rFonts w:ascii="Times New Roman"/>
                        <w:i/>
                        <w:sz w:val="24"/>
                      </w:rPr>
                      <w:t>Interactive Read Aloud Toolkit</w:t>
                    </w:r>
                    <w:bookmarkEnd w:id="1"/>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14B" w:rsidRDefault="004F71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4C" w:rsidRDefault="0031404C">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15:restartNumberingAfterBreak="0">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15:restartNumberingAfterBreak="0">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15:restartNumberingAfterBreak="0">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15:restartNumberingAfterBreak="0">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15:restartNumberingAfterBreak="0">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15:restartNumberingAfterBreak="0">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15:restartNumberingAfterBreak="0">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15:restartNumberingAfterBreak="0">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15:restartNumberingAfterBreak="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15:restartNumberingAfterBreak="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15:restartNumberingAfterBreak="0">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31404C"/>
    <w:rsid w:val="004F714B"/>
    <w:rsid w:val="007202F6"/>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3B3F9F-0010-4ECF-9056-57B723CA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pPr>
      <w:ind w:left="840"/>
      <w:outlineLvl w:val="1"/>
    </w:pPr>
    <w:rPr>
      <w:sz w:val="24"/>
      <w:szCs w:val="24"/>
    </w:rPr>
  </w:style>
  <w:style w:type="paragraph" w:styleId="Heading3">
    <w:name w:val="heading 3"/>
    <w:basedOn w:val="Normal"/>
    <w:uiPriority w:val="1"/>
    <w:qFormat/>
    <w:pPr>
      <w:ind w:left="100"/>
      <w:outlineLvl w:val="2"/>
    </w:pPr>
    <w:rPr>
      <w:b/>
      <w:bCs/>
    </w:rPr>
  </w:style>
  <w:style w:type="paragraph" w:styleId="Heading4">
    <w:name w:val="heading 4"/>
    <w:basedOn w:val="Normal"/>
    <w:uiPriority w:val="1"/>
    <w:qFormat/>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4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exile.com/fab/"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css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Trent, Kristen</cp:lastModifiedBy>
  <cp:revision>2</cp:revision>
  <dcterms:created xsi:type="dcterms:W3CDTF">2017-04-22T03:18:00Z</dcterms:created>
  <dcterms:modified xsi:type="dcterms:W3CDTF">2017-04-22T03:18:00Z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